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rFonts w:ascii="Times New Roman" w:hAnsi="Times New Roman" w:cs="Times New Roman"/>
          <w:b/>
          <w:color w:val="8a794c"/>
          <w:sz w:val="32"/>
          <w:szCs w:val="32"/>
        </w:rPr>
      </w:pPr>
      <w:r>
        <w:rPr>
          <w:rFonts w:ascii="Times New Roman" w:hAnsi="Times New Roman" w:cs="Times New Roman"/>
          <w:b/>
          <w:color w:val="8a794c"/>
          <w:sz w:val="32"/>
          <w:szCs w:val="32"/>
        </w:rPr>
        <w:t xml:space="preserve">KUPNÍ SMLOUVA</w:t>
      </w:r>
      <w:r>
        <w:rPr>
          <w:rFonts w:ascii="Times New Roman" w:hAnsi="Times New Roman" w:cs="Times New Roman"/>
          <w:b/>
          <w:color w:val="8a794c"/>
          <w:sz w:val="32"/>
          <w:szCs w:val="32"/>
        </w:rPr>
      </w:r>
      <w:r>
        <w:rPr>
          <w:rFonts w:ascii="Times New Roman" w:hAnsi="Times New Roman" w:cs="Times New Roman"/>
          <w:b/>
          <w:color w:val="8a794c"/>
          <w:sz w:val="32"/>
          <w:szCs w:val="32"/>
        </w:rPr>
      </w:r>
    </w:p>
    <w:p>
      <w:pPr>
        <w:ind w:left="714" w:hanging="357"/>
        <w:jc w:val="center"/>
        <w:spacing w:line="240" w:lineRule="auto"/>
        <w:rPr>
          <w:rFonts w:ascii="Times New Roman" w:hAnsi="Times New Roman" w:cs="Times New Roman"/>
          <w:color w:val="8a794c"/>
          <w:sz w:val="24"/>
          <w:szCs w:val="24"/>
        </w:rPr>
      </w:pPr>
      <w:r>
        <w:rPr>
          <w:rFonts w:ascii="Times New Roman" w:hAnsi="Times New Roman" w:cs="Times New Roman"/>
          <w:color w:val="8a794c"/>
          <w:sz w:val="24"/>
          <w:szCs w:val="24"/>
        </w:rPr>
      </w:r>
      <w:r>
        <w:rPr>
          <w:rFonts w:ascii="Times New Roman" w:hAnsi="Times New Roman" w:cs="Times New Roman"/>
          <w:color w:val="8a794c"/>
          <w:sz w:val="24"/>
          <w:szCs w:val="24"/>
        </w:rPr>
      </w:r>
      <w:r>
        <w:rPr>
          <w:rFonts w:ascii="Times New Roman" w:hAnsi="Times New Roman" w:cs="Times New Roman"/>
          <w:color w:val="8a794c"/>
          <w:sz w:val="24"/>
          <w:szCs w:val="24"/>
        </w:rPr>
      </w:r>
    </w:p>
    <w:p>
      <w:pPr>
        <w:jc w:val="center"/>
        <w:spacing w:line="240" w:lineRule="auto"/>
        <w:rPr>
          <w:rFonts w:ascii="Times New Roman" w:hAnsi="Times New Roman" w:eastAsia="Arial" w:cs="Times New Roman"/>
          <w:color w:val="8a794c"/>
          <w:sz w:val="24"/>
          <w:szCs w:val="24"/>
          <w:lang w:eastAsia="en-US"/>
        </w:rPr>
      </w:pPr>
      <w:r>
        <w:rPr>
          <w:rFonts w:ascii="Times New Roman" w:hAnsi="Times New Roman" w:eastAsia="Arial" w:cs="Times New Roman"/>
          <w:color w:val="8a794c"/>
          <w:sz w:val="24"/>
          <w:szCs w:val="24"/>
          <w:lang w:eastAsia="en-US"/>
        </w:rPr>
        <w:t xml:space="preserve">Tato kupní smlouva (dále též jako „</w:t>
      </w:r>
      <w:r>
        <w:rPr>
          <w:rFonts w:ascii="Times New Roman" w:hAnsi="Times New Roman" w:eastAsia="Arial" w:cs="Times New Roman"/>
          <w:b/>
          <w:color w:val="8a794c"/>
          <w:sz w:val="24"/>
          <w:szCs w:val="24"/>
          <w:lang w:eastAsia="en-US"/>
        </w:rPr>
        <w:t xml:space="preserve">Smlouva</w:t>
      </w:r>
      <w:r>
        <w:rPr>
          <w:rFonts w:ascii="Times New Roman" w:hAnsi="Times New Roman" w:eastAsia="Arial" w:cs="Times New Roman"/>
          <w:color w:val="8a794c"/>
          <w:sz w:val="24"/>
          <w:szCs w:val="24"/>
          <w:lang w:eastAsia="en-US"/>
        </w:rPr>
        <w:t xml:space="preserve">“) byla uzavřena níže uvedeného dne, měsíce           a roku podle zákona č. 89/2012 Sb., občanského zákoníku, v platném znění, mezi těmito stranami:</w:t>
      </w:r>
      <w:r>
        <w:rPr>
          <w:rFonts w:ascii="Times New Roman" w:hAnsi="Times New Roman" w:eastAsia="Arial" w:cs="Times New Roman"/>
          <w:color w:val="8a794c"/>
          <w:sz w:val="24"/>
          <w:szCs w:val="24"/>
          <w:lang w:eastAsia="en-US"/>
        </w:rPr>
      </w:r>
      <w:r>
        <w:rPr>
          <w:rFonts w:ascii="Times New Roman" w:hAnsi="Times New Roman" w:eastAsia="Arial" w:cs="Times New Roman"/>
          <w:color w:val="8a794c"/>
          <w:sz w:val="24"/>
          <w:szCs w:val="24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xxxx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</w:r>
    </w:p>
    <w:p>
      <w:pPr>
        <w:spacing w:after="0" w:line="240" w:lineRule="auto"/>
        <w:rPr>
          <w:rFonts w:ascii="Times New Roman" w:hAnsi="Times New Roman" w:eastAsia="TimesNewRoman" w:cs="Times New Roman"/>
          <w:bCs/>
          <w:color w:val="auto"/>
          <w:sz w:val="24"/>
          <w:szCs w:val="24"/>
        </w:rPr>
      </w:pPr>
      <w:r>
        <w:rPr>
          <w:rFonts w:ascii="Times New Roman" w:hAnsi="Times New Roman" w:eastAsia="TimesNewRoman" w:cs="Times New Roman"/>
          <w:color w:val="auto"/>
          <w:sz w:val="24"/>
          <w:szCs w:val="24"/>
        </w:rPr>
        <w:t xml:space="preserve">(dále jen jako ,,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Prodávající</w:t>
      </w:r>
      <w:r>
        <w:rPr>
          <w:rFonts w:ascii="Times New Roman" w:hAnsi="Times New Roman" w:eastAsia="TimesNewRoman" w:cs="Times New Roman"/>
          <w:color w:val="auto"/>
          <w:sz w:val="24"/>
          <w:szCs w:val="24"/>
        </w:rPr>
        <w:t xml:space="preserve">“)</w:t>
      </w:r>
      <w:r>
        <w:rPr>
          <w:rFonts w:ascii="Times New Roman" w:hAnsi="Times New Roman" w:eastAsia="TimesNewRoman" w:cs="Times New Roman"/>
          <w:bCs/>
          <w:color w:val="auto"/>
          <w:sz w:val="24"/>
          <w:szCs w:val="24"/>
        </w:rPr>
      </w:r>
      <w:r>
        <w:rPr>
          <w:rFonts w:ascii="Times New Roman" w:hAnsi="Times New Roman" w:eastAsia="TimesNewRoman" w:cs="Times New Roman"/>
          <w:bCs/>
          <w:color w:val="auto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NewRoman" w:cs="Times New Roman"/>
          <w:color w:val="000000"/>
          <w:sz w:val="24"/>
          <w:szCs w:val="24"/>
        </w:rPr>
      </w:pPr>
      <w:r>
        <w:rPr>
          <w:rFonts w:ascii="Times New Roman" w:hAnsi="Times New Roman" w:eastAsia="TimesNewRoman" w:cs="Times New Roman"/>
          <w:color w:val="000000"/>
          <w:sz w:val="24"/>
          <w:szCs w:val="24"/>
        </w:rPr>
      </w:r>
      <w:r>
        <w:rPr>
          <w:rFonts w:ascii="Times New Roman" w:hAnsi="Times New Roman" w:eastAsia="TimesNewRoman" w:cs="Times New Roman"/>
          <w:color w:val="000000"/>
          <w:sz w:val="24"/>
          <w:szCs w:val="24"/>
        </w:rPr>
      </w:r>
      <w:r>
        <w:rPr>
          <w:rFonts w:ascii="Times New Roman" w:hAnsi="Times New Roman" w:eastAsia="TimesNewRoman" w:cs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NewRoman" w:cs="Times New Roman"/>
          <w:color w:val="000000"/>
          <w:sz w:val="24"/>
          <w:szCs w:val="24"/>
        </w:rPr>
      </w:pPr>
      <w:r>
        <w:rPr>
          <w:rFonts w:ascii="Times New Roman" w:hAnsi="Times New Roman" w:eastAsia="TimesNewRoman" w:cs="Times New Roman"/>
          <w:color w:val="000000"/>
          <w:sz w:val="24"/>
          <w:szCs w:val="24"/>
        </w:rPr>
        <w:t xml:space="preserve">a</w:t>
      </w:r>
      <w:r>
        <w:rPr>
          <w:rFonts w:ascii="Times New Roman" w:hAnsi="Times New Roman" w:eastAsia="TimesNewRoman" w:cs="Times New Roman"/>
          <w:color w:val="000000"/>
          <w:sz w:val="24"/>
          <w:szCs w:val="24"/>
        </w:rPr>
      </w:r>
      <w:r>
        <w:rPr>
          <w:rFonts w:ascii="Times New Roman" w:hAnsi="Times New Roman" w:eastAsia="TimesNewRoman" w:cs="Times New Roman"/>
          <w:color w:val="000000"/>
          <w:sz w:val="24"/>
          <w:szCs w:val="24"/>
        </w:rPr>
      </w:r>
    </w:p>
    <w:p>
      <w:pPr>
        <w:spacing w:after="0" w:line="240" w:lineRule="auto"/>
        <w:tabs>
          <w:tab w:val="left" w:pos="4370" w:leader="none"/>
        </w:tabs>
        <w:rPr>
          <w:rFonts w:ascii="Times New Roman" w:hAnsi="Times New Roman" w:eastAsia="TimesNewRoman" w:cs="Times New Roman"/>
          <w:color w:val="000000"/>
          <w:sz w:val="24"/>
          <w:szCs w:val="24"/>
        </w:rPr>
      </w:pPr>
      <w:r>
        <w:rPr>
          <w:rFonts w:ascii="Times New Roman" w:hAnsi="Times New Roman" w:eastAsia="TimesNewRoman" w:cs="Times New Roman"/>
          <w:color w:val="000000"/>
          <w:sz w:val="24"/>
          <w:szCs w:val="24"/>
        </w:rPr>
      </w:r>
      <w:r>
        <w:rPr>
          <w:rFonts w:ascii="Times New Roman" w:hAnsi="Times New Roman" w:eastAsia="TimesNewRoman" w:cs="Times New Roman"/>
          <w:color w:val="000000"/>
          <w:sz w:val="24"/>
          <w:szCs w:val="24"/>
        </w:rPr>
      </w:r>
      <w:r>
        <w:rPr>
          <w:rFonts w:ascii="Times New Roman" w:hAnsi="Times New Roman" w:eastAsia="TimesNewRoman" w:cs="Times New Roman"/>
          <w:color w:val="000000"/>
          <w:sz w:val="24"/>
          <w:szCs w:val="24"/>
        </w:rPr>
      </w:r>
    </w:p>
    <w:p>
      <w:pPr>
        <w:spacing w:after="0"/>
        <w:rPr>
          <w:rFonts w:ascii="Times New Roman" w:hAnsi="Times New Roman" w:eastAsia="Times New Roman" w:cs="Times New Roman"/>
          <w:bCs/>
          <w:color w:val="auto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Cs/>
          <w:color w:val="auto"/>
          <w:sz w:val="24"/>
        </w:rPr>
        <w:t xml:space="preserve">xxxx</w:t>
      </w:r>
      <w:r>
        <w:rPr>
          <w:rFonts w:ascii="Times New Roman" w:hAnsi="Times New Roman" w:eastAsia="Times New Roman" w:cs="Times New Roman"/>
          <w:bCs/>
          <w:color w:val="auto"/>
          <w:sz w:val="24"/>
        </w:rPr>
      </w:r>
      <w:r>
        <w:rPr>
          <w:rFonts w:ascii="Times New Roman" w:hAnsi="Times New Roman" w:eastAsia="Times New Roman" w:cs="Times New Roman"/>
          <w:bCs/>
          <w:color w:val="auto"/>
          <w:sz w:val="24"/>
        </w:rPr>
      </w:r>
    </w:p>
    <w:p>
      <w:pPr>
        <w:spacing w:after="0" w:line="240" w:lineRule="auto"/>
        <w:tabs>
          <w:tab w:val="left" w:pos="437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(dále jen jako ,,</w:t>
      </w:r>
      <w:r>
        <w:rPr>
          <w:rFonts w:ascii="Times New Roman" w:hAnsi="Times New Roman"/>
          <w:b/>
          <w:sz w:val="24"/>
          <w:szCs w:val="24"/>
        </w:rPr>
        <w:t xml:space="preserve">Kupující č.1</w:t>
      </w:r>
      <w:r>
        <w:rPr>
          <w:rFonts w:ascii="Times New Roman" w:hAnsi="Times New Roman"/>
          <w:bCs/>
          <w:sz w:val="24"/>
          <w:szCs w:val="24"/>
        </w:rPr>
        <w:t xml:space="preserve">“)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spacing w:after="0" w:line="240" w:lineRule="auto"/>
        <w:tabs>
          <w:tab w:val="left" w:pos="4370" w:leader="none"/>
        </w:tabs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 xml:space="preserve">a</w:t>
      </w:r>
      <w:r>
        <w:rPr>
          <w:rFonts w:ascii="Times New Roman" w:hAnsi="Times New Roman"/>
          <w:bCs/>
          <w:color w:val="auto"/>
          <w:sz w:val="24"/>
          <w:szCs w:val="24"/>
        </w:rPr>
      </w:r>
      <w:r>
        <w:rPr>
          <w:rFonts w:ascii="Times New Roman" w:hAnsi="Times New Roman"/>
          <w:bCs/>
          <w:color w:val="auto"/>
          <w:sz w:val="24"/>
          <w:szCs w:val="24"/>
        </w:rPr>
      </w:r>
    </w:p>
    <w:p>
      <w:pPr>
        <w:spacing w:after="0"/>
        <w:rPr>
          <w:rFonts w:ascii="Times New Roman" w:hAnsi="Times New Roman" w:eastAsia="Times New Roman" w:cs="Times New Roman"/>
          <w:bCs/>
          <w:color w:val="auto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Cs/>
          <w:color w:val="auto"/>
          <w:sz w:val="24"/>
        </w:rPr>
        <w:t xml:space="preserve">xxxx</w:t>
      </w:r>
      <w:r>
        <w:rPr>
          <w:rFonts w:ascii="Times New Roman" w:hAnsi="Times New Roman" w:eastAsia="Times New Roman" w:cs="Times New Roman"/>
          <w:bCs/>
          <w:color w:val="auto"/>
          <w:sz w:val="24"/>
        </w:rPr>
      </w:r>
      <w:r>
        <w:rPr>
          <w:rFonts w:ascii="Times New Roman" w:hAnsi="Times New Roman" w:eastAsia="Times New Roman" w:cs="Times New Roman"/>
          <w:bCs/>
          <w:color w:val="auto"/>
          <w:sz w:val="24"/>
        </w:rPr>
      </w:r>
    </w:p>
    <w:p>
      <w:pPr>
        <w:spacing w:after="0" w:line="240" w:lineRule="auto"/>
        <w:tabs>
          <w:tab w:val="left" w:pos="437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(dále jen jako ,,</w:t>
      </w:r>
      <w:r>
        <w:rPr>
          <w:rFonts w:ascii="Times New Roman" w:hAnsi="Times New Roman"/>
          <w:b/>
          <w:sz w:val="24"/>
          <w:szCs w:val="24"/>
        </w:rPr>
        <w:t xml:space="preserve">Kupující č.2</w:t>
      </w:r>
      <w:r>
        <w:rPr>
          <w:rFonts w:ascii="Times New Roman" w:hAnsi="Times New Roman"/>
          <w:bCs/>
          <w:sz w:val="24"/>
          <w:szCs w:val="24"/>
        </w:rPr>
        <w:t xml:space="preserve">“)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spacing w:after="0" w:line="240" w:lineRule="auto"/>
        <w:tabs>
          <w:tab w:val="left" w:pos="4370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(Kupující č.1 a Kupující č.2 dále společně jen jako „</w:t>
      </w:r>
      <w:r>
        <w:rPr>
          <w:rFonts w:ascii="Times New Roman" w:hAnsi="Times New Roman"/>
          <w:b/>
          <w:sz w:val="24"/>
          <w:szCs w:val="24"/>
        </w:rPr>
        <w:t xml:space="preserve">Kupující</w:t>
      </w:r>
      <w:r>
        <w:rPr>
          <w:rFonts w:ascii="Times New Roman" w:hAnsi="Times New Roman"/>
          <w:bCs/>
          <w:sz w:val="24"/>
          <w:szCs w:val="24"/>
        </w:rPr>
        <w:t xml:space="preserve">“)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NewRoman" w:cs="Times New Roman"/>
          <w:color w:val="000000"/>
          <w:sz w:val="24"/>
          <w:szCs w:val="24"/>
        </w:rPr>
      </w:pPr>
      <w:r>
        <w:rPr>
          <w:rFonts w:ascii="Times New Roman" w:hAnsi="Times New Roman" w:eastAsia="TimesNewRoman" w:cs="Times New Roman"/>
          <w:color w:val="000000"/>
          <w:sz w:val="24"/>
          <w:szCs w:val="24"/>
        </w:rPr>
      </w:r>
      <w:r>
        <w:rPr>
          <w:rFonts w:ascii="Times New Roman" w:hAnsi="Times New Roman" w:eastAsia="TimesNewRoman" w:cs="Times New Roman"/>
          <w:color w:val="000000"/>
          <w:sz w:val="24"/>
          <w:szCs w:val="24"/>
        </w:rPr>
      </w:r>
      <w:r>
        <w:rPr>
          <w:rFonts w:ascii="Times New Roman" w:hAnsi="Times New Roman" w:eastAsia="TimesNewRoman" w:cs="Times New Roman"/>
          <w:color w:val="000000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New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Prodávající</w:t>
      </w:r>
      <w:r>
        <w:rPr>
          <w:rFonts w:ascii="Times New Roman" w:hAnsi="Times New Roman" w:eastAsia="TimesNewRoman" w:cs="Times New Roman"/>
          <w:color w:val="000000"/>
          <w:sz w:val="24"/>
          <w:szCs w:val="24"/>
        </w:rPr>
        <w:t xml:space="preserve"> a Kupující, dále společně jako ,,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Smluvní strany</w:t>
      </w:r>
      <w:r>
        <w:rPr>
          <w:rFonts w:ascii="Times New Roman" w:hAnsi="Times New Roman" w:eastAsia="TimesNewRoman" w:cs="Times New Roman"/>
          <w:color w:val="000000"/>
          <w:sz w:val="24"/>
          <w:szCs w:val="24"/>
        </w:rPr>
        <w:t xml:space="preserve">“, ujednávají následující:</w:t>
      </w:r>
      <w:r>
        <w:rPr>
          <w:rFonts w:ascii="Times New Roman" w:hAnsi="Times New Roman" w:eastAsia="TimesNewRoman" w:cs="Times New Roman"/>
          <w:color w:val="000000"/>
          <w:sz w:val="24"/>
          <w:szCs w:val="24"/>
        </w:rPr>
      </w:r>
      <w:r>
        <w:rPr>
          <w:rFonts w:ascii="Times New Roman" w:hAnsi="Times New Roman" w:eastAsia="TimesNew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8a794c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  <w:t xml:space="preserve">Čl. I.</w:t>
      </w: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8a794c"/>
          <w:sz w:val="28"/>
          <w:szCs w:val="28"/>
        </w:rPr>
      </w:pPr>
      <w:r>
        <w:rPr>
          <w:rFonts w:ascii="Times New Roman" w:hAnsi="Times New Roman" w:cs="Times New Roman"/>
          <w:b/>
          <w:color w:val="8a794c"/>
          <w:sz w:val="28"/>
          <w:szCs w:val="28"/>
        </w:rPr>
        <w:t xml:space="preserve">Předmět převodu</w:t>
      </w:r>
      <w:r>
        <w:rPr>
          <w:rFonts w:ascii="Times New Roman" w:hAnsi="Times New Roman" w:cs="Times New Roman"/>
          <w:b/>
          <w:color w:val="8a794c"/>
          <w:sz w:val="28"/>
          <w:szCs w:val="28"/>
        </w:rPr>
      </w:r>
      <w:r>
        <w:rPr>
          <w:rFonts w:ascii="Times New Roman" w:hAnsi="Times New Roman" w:cs="Times New Roman"/>
          <w:b/>
          <w:color w:val="8a794c"/>
          <w:sz w:val="28"/>
          <w:szCs w:val="28"/>
        </w:rPr>
      </w:r>
    </w:p>
    <w:p>
      <w:pPr>
        <w:ind w:hanging="284"/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color w:val="auto"/>
          <w:sz w:val="24"/>
          <w:szCs w:val="24"/>
        </w:rPr>
      </w:r>
    </w:p>
    <w:p>
      <w:pPr>
        <w:pStyle w:val="1164"/>
        <w:ind w:left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Prodávající prohlašuje, že má ve svém výlučném vlastnictví následující nemovité věci: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xxxxxxxxxxxx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4"/>
        <w:ind w:left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80"/>
        <w:numPr>
          <w:ilvl w:val="0"/>
          <w:numId w:val="0"/>
        </w:numPr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</w:r>
      <w:r>
        <w:rPr>
          <w:rFonts w:ascii="Times New Roman" w:hAnsi="Times New Roman" w:cs="Times New Roman"/>
          <w:bCs/>
          <w:sz w:val="24"/>
          <w:szCs w:val="24"/>
        </w:rPr>
        <w:t xml:space="preserve"> (dále jen jako ,,</w:t>
      </w:r>
      <w:r>
        <w:rPr>
          <w:rFonts w:ascii="Times New Roman" w:hAnsi="Times New Roman" w:cs="Times New Roman"/>
          <w:b/>
          <w:sz w:val="24"/>
          <w:szCs w:val="24"/>
        </w:rPr>
        <w:t xml:space="preserve">Nemovitosti</w:t>
      </w:r>
      <w:r>
        <w:rPr>
          <w:rFonts w:ascii="Times New Roman" w:hAnsi="Times New Roman" w:cs="Times New Roman"/>
          <w:bCs/>
          <w:sz w:val="24"/>
          <w:szCs w:val="24"/>
        </w:rPr>
        <w:t xml:space="preserve">“).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1180"/>
        <w:numPr>
          <w:ilvl w:val="0"/>
          <w:numId w:val="0"/>
        </w:numPr>
        <w:jc w:val="bot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8a794c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  <w:t xml:space="preserve">Čl. II.</w:t>
      </w: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8a794c"/>
          <w:sz w:val="28"/>
          <w:szCs w:val="28"/>
        </w:rPr>
      </w:pPr>
      <w:r>
        <w:rPr>
          <w:rFonts w:ascii="Times New Roman" w:hAnsi="Times New Roman" w:cs="Times New Roman"/>
          <w:b/>
          <w:color w:val="8a794c"/>
          <w:sz w:val="28"/>
          <w:szCs w:val="28"/>
        </w:rPr>
        <w:t xml:space="preserve"> Předmět Smlouvy</w:t>
      </w:r>
      <w:r>
        <w:rPr>
          <w:rFonts w:ascii="Times New Roman" w:hAnsi="Times New Roman" w:cs="Times New Roman"/>
          <w:b/>
          <w:color w:val="8a794c"/>
          <w:sz w:val="28"/>
          <w:szCs w:val="28"/>
        </w:rPr>
      </w:r>
      <w:r>
        <w:rPr>
          <w:rFonts w:ascii="Times New Roman" w:hAnsi="Times New Roman" w:cs="Times New Roman"/>
          <w:b/>
          <w:color w:val="8a794c"/>
          <w:sz w:val="28"/>
          <w:szCs w:val="28"/>
        </w:rPr>
      </w:r>
    </w:p>
    <w:p>
      <w:pPr>
        <w:ind w:hanging="284"/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color w:val="auto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Prodávající touto Smlouvou prodává Kupujícím Nemovitosti se všemi součástmi a příslušenstvím a se všemi právy a povinnostmi v tom rozsahu, jak tyto doposud sám užíval a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Kupující touto Smlouvou Nemovitosti se všemi součástmi a příslušenstvím a se všemi právy a povinnostmi, od Prodávajícího kupují do podílového spoluvlastnictví (každý o velikosti ideální ½ k celku), a to za kupní cenu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xxxxxxxxxxxxxx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, (dále též jako „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Kupní cena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“)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8a794c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  <w:t xml:space="preserve">Čl. III.</w:t>
      </w:r>
      <w:r>
        <w:rPr>
          <w:rFonts w:ascii="Times New Roman" w:hAnsi="Times New Roman" w:cs="Times New Roman"/>
          <w:color w:val="8a794c"/>
          <w:sz w:val="28"/>
          <w:szCs w:val="28"/>
        </w:rPr>
      </w:r>
      <w:r>
        <w:rPr>
          <w:rFonts w:ascii="Times New Roman" w:hAnsi="Times New Roman" w:cs="Times New Roman"/>
          <w:color w:val="8a794c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8a794c"/>
          <w:sz w:val="28"/>
          <w:szCs w:val="28"/>
        </w:rPr>
      </w:pPr>
      <w:r>
        <w:rPr>
          <w:rFonts w:ascii="Times New Roman" w:hAnsi="Times New Roman" w:cs="Times New Roman"/>
          <w:b/>
          <w:color w:val="8a794c"/>
          <w:sz w:val="28"/>
          <w:szCs w:val="28"/>
        </w:rPr>
        <w:t xml:space="preserve">Úhrada Kupní ceny</w:t>
      </w:r>
      <w:r>
        <w:rPr>
          <w:rFonts w:ascii="Times New Roman" w:hAnsi="Times New Roman" w:cs="Times New Roman"/>
          <w:b/>
          <w:color w:val="8a794c"/>
          <w:sz w:val="28"/>
          <w:szCs w:val="28"/>
        </w:rPr>
      </w:r>
      <w:r>
        <w:rPr>
          <w:rFonts w:ascii="Times New Roman" w:hAnsi="Times New Roman" w:cs="Times New Roman"/>
          <w:b/>
          <w:color w:val="8a794c"/>
          <w:sz w:val="28"/>
          <w:szCs w:val="28"/>
        </w:rPr>
      </w:r>
    </w:p>
    <w:p>
      <w:pPr>
        <w:ind w:hanging="284"/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color w:val="auto"/>
          <w:sz w:val="24"/>
          <w:szCs w:val="24"/>
        </w:rPr>
      </w:r>
    </w:p>
    <w:p>
      <w:pPr>
        <w:pStyle w:val="1164"/>
        <w:numPr>
          <w:ilvl w:val="0"/>
          <w:numId w:val="21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První část Kupní ceny ve výši xxxxxxxxxxx uhradili Kupující před podpisem této Smlouvy na účet Prodávajícího, čímž se má tato část Kupní ceny za uhrazenou, což Smluvní strany potvrzují podpisem v této Smlouvě.</w:t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ar-SA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ar-SA"/>
        </w:rPr>
      </w:r>
    </w:p>
    <w:p>
      <w:pPr>
        <w:ind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1"/>
        </w:numPr>
        <w:ind w:left="0" w:hanging="284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4"/>
          <w:szCs w:val="24"/>
          <w:lang w:eastAsia="cs-CZ"/>
        </w:rPr>
      </w:pPr>
      <w:r>
        <w:rPr>
          <w:rFonts w:ascii="Times New Roman" w:hAnsi="Times New Roman" w:eastAsia="TimesNewRoman" w:cs="Times New Roman"/>
          <w:color w:val="000000"/>
          <w:sz w:val="24"/>
          <w:szCs w:val="24"/>
        </w:rPr>
        <w:t xml:space="preserve">Úhrada druhé části Kupní ceny ve výši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xxxxxxxx</w:t>
      </w:r>
      <w:r>
        <w:rPr>
          <w:rFonts w:ascii="Times New Roman" w:hAnsi="Times New Roman" w:eastAsia="TimesNewRoman" w:cs="Times New Roman"/>
          <w:color w:val="000000"/>
          <w:sz w:val="24"/>
          <w:szCs w:val="24"/>
        </w:rPr>
        <w:t xml:space="preserve"> bude následující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cs-CZ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cs-CZ"/>
        </w:rPr>
      </w:r>
    </w:p>
    <w:p>
      <w:pPr>
        <w:pStyle w:val="1164"/>
        <w:ind w:left="0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cs-CZ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cs-CZ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cs-CZ"/>
        </w:rPr>
      </w:r>
    </w:p>
    <w:p>
      <w:pPr>
        <w:pStyle w:val="1164"/>
        <w:numPr>
          <w:ilvl w:val="0"/>
          <w:numId w:val="33"/>
        </w:numPr>
        <w:ind w:left="284" w:hanging="284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NewRoman" w:cs="Times New Roman"/>
          <w:color w:val="000000"/>
          <w:sz w:val="24"/>
          <w:szCs w:val="24"/>
        </w:rPr>
        <w:t xml:space="preserve">část druhé části Kupní ceny ve výši</w:t>
      </w:r>
      <w:r>
        <w:rPr>
          <w:rFonts w:ascii="Times New Roman" w:hAnsi="Times New Roman" w:eastAsia="TimesNewRoman" w:cs="Times New Roman"/>
          <w:color w:val="000000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  <w:shd w:val="clear" w:color="auto" w:fill="ffffff"/>
        </w:rPr>
        <w:t xml:space="preserve">xxxxxxxxxx</w:t>
      </w:r>
      <w:r>
        <w:rPr>
          <w:rFonts w:ascii="Times New Roman" w:hAnsi="Times New Roman" w:eastAsia="TimesNewRoman" w:cs="Times New Roman"/>
          <w:color w:val="000000"/>
          <w:sz w:val="24"/>
          <w:szCs w:val="24"/>
        </w:rPr>
        <w:t xml:space="preserve"> se zavazují Kupující uhradit společně a nerozdílně z vlastních prostředků </w:t>
      </w:r>
      <w:r>
        <w:rPr>
          <w:rFonts w:ascii="Times New Roman" w:hAnsi="Times New Roman" w:eastAsia="TimesNewRoman" w:cs="Times New Roman"/>
          <w:color w:val="000000"/>
          <w:sz w:val="24"/>
          <w:szCs w:val="24"/>
          <w:highlight w:val="yellow"/>
        </w:rPr>
        <w:t xml:space="preserve">a z prostředků financující banky</w:t>
      </w:r>
      <w:r>
        <w:rPr>
          <w:rFonts w:ascii="Times New Roman" w:hAnsi="Times New Roman" w:eastAsia="TimesNewRoman" w:cs="Times New Roman"/>
          <w:color w:val="000000"/>
          <w:sz w:val="24"/>
          <w:szCs w:val="24"/>
        </w:rPr>
        <w:t xml:space="preserve"> nejpozději </w:t>
      </w:r>
      <w:r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dvaceti</w:t>
      </w:r>
      <w:r>
        <w:rPr>
          <w:rFonts w:ascii="Times New Roman" w:hAnsi="Times New Roman" w:cs="Times New Roman"/>
          <w:sz w:val="24"/>
          <w:szCs w:val="24"/>
        </w:rPr>
        <w:t xml:space="preserve">  (</w:t>
      </w:r>
      <w:commentRangeStart w:id="0"/>
      <w:r>
        <w:rPr>
          <w:rFonts w:ascii="Times New Roman" w:hAnsi="Times New Roman" w:cs="Times New Roman"/>
          <w:sz w:val="24"/>
          <w:szCs w:val="24"/>
        </w:rPr>
        <w:t xml:space="preserve">20</w:t>
      </w:r>
      <w:commentRangeEnd w:id="0"/>
      <w:r>
        <w:commentReference w:id="0"/>
      </w:r>
      <w:r>
        <w:rPr>
          <w:rFonts w:ascii="Times New Roman" w:hAnsi="Times New Roman" w:cs="Times New Roman"/>
          <w:sz w:val="24"/>
          <w:szCs w:val="24"/>
        </w:rPr>
        <w:t xml:space="preserve">) pracovních dnů od uzavření této Smlouvy, prostřednictvím advokátní úschovy u schovatele </w:t>
      </w:r>
      <w:r>
        <w:rPr>
          <w:rStyle w:val="1179"/>
          <w:rFonts w:ascii="Times New Roman" w:hAnsi="Times New Roman" w:cs="Times New Roman"/>
          <w:b/>
          <w:sz w:val="24"/>
          <w:szCs w:val="24"/>
        </w:rPr>
        <w:t xml:space="preserve">AK LEGAL ADVICE s.r.o.</w:t>
      </w:r>
      <w:r>
        <w:rPr>
          <w:rFonts w:ascii="Times New Roman" w:hAnsi="Times New Roman" w:cs="Times New Roman"/>
          <w:sz w:val="24"/>
          <w:szCs w:val="24"/>
        </w:rPr>
        <w:t xml:space="preserve">, (dále též jako „</w:t>
      </w:r>
      <w:r>
        <w:rPr>
          <w:rFonts w:ascii="Times New Roman" w:hAnsi="Times New Roman" w:cs="Times New Roman"/>
          <w:b/>
          <w:sz w:val="24"/>
          <w:szCs w:val="24"/>
        </w:rPr>
        <w:t xml:space="preserve">Schovatel</w:t>
      </w:r>
      <w:r>
        <w:rPr>
          <w:rFonts w:ascii="Times New Roman" w:hAnsi="Times New Roman" w:cs="Times New Roman"/>
          <w:sz w:val="24"/>
          <w:szCs w:val="24"/>
        </w:rPr>
        <w:t xml:space="preserve">“) na úschovní účet Schovatele vedený u peněžního ústavu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MONETA Money Bank, a.s.</w:t>
      </w:r>
      <w:r>
        <w:rPr>
          <w:rFonts w:ascii="Times New Roman" w:hAnsi="Times New Roman" w:cs="Times New Roman"/>
          <w:sz w:val="24"/>
          <w:szCs w:val="24"/>
        </w:rPr>
        <w:t xml:space="preserve">, číslo účtu: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  <w:shd w:val="clear" w:color="auto" w:fill="f5f5f5"/>
        </w:rPr>
        <w:t xml:space="preserve">(..)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5f5f5"/>
        </w:rPr>
        <w:t xml:space="preserve"> / 0600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(dále jen „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Účet</w:t>
      </w:r>
      <w:r>
        <w:rPr>
          <w:rFonts w:ascii="Times New Roman" w:hAnsi="Times New Roman" w:cs="Times New Roman"/>
          <w:sz w:val="24"/>
          <w:szCs w:val="24"/>
        </w:rPr>
        <w:t xml:space="preserve">“), se kterým Prodávající a Kupující uzavřeli za tímto účelem, současně s touto Smlouvou, smlouvu o advokátní úschově;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4"/>
        <w:ind w:left="284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cs-CZ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cs-CZ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cs-CZ"/>
        </w:rPr>
      </w:r>
    </w:p>
    <w:p>
      <w:pPr>
        <w:pStyle w:val="1164"/>
        <w:ind w:left="284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4"/>
          <w:szCs w:val="24"/>
          <w:lang w:eastAsia="cs-CZ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cs-CZ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cs-CZ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cs-CZ"/>
        </w:rPr>
      </w:r>
    </w:p>
    <w:p>
      <w:pPr>
        <w:ind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1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Smluvní strany se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dohodly, že zaplacením Kupní ceny se rozumí připsání příslušných částí Kupní ceny podle odst. 2 písm. a) na účet Prodávajícího.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ind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1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Bližší podmínky pro složení a uvolnění části Kupní ceny uvedené v odst. 2. písm. a) tohoto článku jsou sjednány ve smlouvě o advokátní úschově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ind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1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Prodávající souhlasí se zřízením zástavního práva, včetně souvisejících věcných práv a zápisů, na Nemovitosti, kterým bude zajištěna pohledávka banky poskytující financování části Kupní ceny a zavazuje se poskytnout Kupujícím veškerou potřebnou součinnost.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ind w:hanging="284"/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8a794c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  <w:t xml:space="preserve">Čl.</w:t>
      </w:r>
      <w:r>
        <w:rPr>
          <w:rFonts w:ascii="Times New Roman" w:hAnsi="Times New Roman" w:cs="Times New Roman"/>
          <w:color w:val="8a794c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8a794c"/>
          <w:sz w:val="28"/>
          <w:szCs w:val="28"/>
        </w:rPr>
        <w:t xml:space="preserve">IV.</w:t>
      </w:r>
      <w:r>
        <w:rPr>
          <w:rFonts w:ascii="Times New Roman" w:hAnsi="Times New Roman" w:cs="Times New Roman"/>
          <w:b/>
          <w:color w:val="8a794c"/>
          <w:sz w:val="28"/>
          <w:szCs w:val="28"/>
        </w:rPr>
      </w:r>
      <w:r>
        <w:rPr>
          <w:rFonts w:ascii="Times New Roman" w:hAnsi="Times New Roman" w:cs="Times New Roman"/>
          <w:b/>
          <w:color w:val="8a794c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8a794c"/>
          <w:sz w:val="28"/>
          <w:szCs w:val="28"/>
        </w:rPr>
      </w:pPr>
      <w:r>
        <w:rPr>
          <w:rFonts w:ascii="Times New Roman" w:hAnsi="Times New Roman" w:cs="Times New Roman"/>
          <w:b/>
          <w:color w:val="8a794c"/>
          <w:sz w:val="28"/>
          <w:szCs w:val="28"/>
        </w:rPr>
        <w:t xml:space="preserve">Prohlášení a ujištění Smluvních stran</w:t>
      </w:r>
      <w:r>
        <w:rPr>
          <w:rFonts w:ascii="Times New Roman" w:hAnsi="Times New Roman" w:cs="Times New Roman"/>
          <w:color w:val="8a794c"/>
          <w:sz w:val="28"/>
          <w:szCs w:val="28"/>
        </w:rPr>
      </w:r>
      <w:r>
        <w:rPr>
          <w:rFonts w:ascii="Times New Roman" w:hAnsi="Times New Roman" w:cs="Times New Roman"/>
          <w:color w:val="8a794c"/>
          <w:sz w:val="28"/>
          <w:szCs w:val="28"/>
        </w:rPr>
      </w:r>
    </w:p>
    <w:p>
      <w:pPr>
        <w:ind w:hanging="284"/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color w:val="auto"/>
          <w:sz w:val="24"/>
          <w:szCs w:val="24"/>
        </w:rPr>
      </w:r>
    </w:p>
    <w:p>
      <w:pPr>
        <w:pStyle w:val="1164"/>
        <w:numPr>
          <w:ilvl w:val="0"/>
          <w:numId w:val="22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Prodávající prohlašuje a ujišťuje Kupující, že: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0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3"/>
        </w:numPr>
        <w:ind w:left="284" w:hanging="284"/>
        <w:jc w:val="both"/>
        <w:spacing w:after="0" w:line="240" w:lineRule="auto"/>
        <w:rPr>
          <w:rFonts w:ascii="Times New Roman" w:hAnsi="Times New Roman" w:eastAsia="Arial" w:cs="Times New Roman"/>
          <w:color w:val="auto"/>
          <w:sz w:val="24"/>
          <w:szCs w:val="24"/>
          <w:shd w:val="clear" w:color="auto" w:fill="ffff00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je výlučným vlastníkem Nemovitostí a je oprávněn s nimi nakládat v plném rozsahu potřebném pro tuto Smlouvu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;</w:t>
      </w:r>
      <w:r>
        <w:rPr>
          <w:rFonts w:ascii="Times New Roman" w:hAnsi="Times New Roman" w:eastAsia="Arial" w:cs="Times New Roman"/>
          <w:color w:val="auto"/>
          <w:sz w:val="24"/>
          <w:szCs w:val="24"/>
          <w:shd w:val="clear" w:color="auto" w:fill="ffff00"/>
          <w:lang w:eastAsia="en-US"/>
        </w:rPr>
      </w:r>
      <w:r>
        <w:rPr>
          <w:rFonts w:ascii="Times New Roman" w:hAnsi="Times New Roman" w:eastAsia="Arial" w:cs="Times New Roman"/>
          <w:color w:val="auto"/>
          <w:sz w:val="24"/>
          <w:szCs w:val="24"/>
          <w:shd w:val="clear" w:color="auto" w:fill="ffff00"/>
          <w:lang w:eastAsia="en-US"/>
        </w:rPr>
      </w:r>
    </w:p>
    <w:p>
      <w:pPr>
        <w:pStyle w:val="1164"/>
        <w:ind w:left="284"/>
        <w:jc w:val="both"/>
        <w:spacing w:after="0" w:line="240" w:lineRule="auto"/>
        <w:rPr>
          <w:rFonts w:ascii="Times New Roman" w:hAnsi="Times New Roman" w:eastAsia="Arial" w:cs="Times New Roman"/>
          <w:color w:val="auto"/>
          <w:sz w:val="24"/>
          <w:szCs w:val="24"/>
          <w:shd w:val="clear" w:color="auto" w:fill="ffff00"/>
          <w:lang w:eastAsia="en-US"/>
        </w:rPr>
      </w:pPr>
      <w:r>
        <w:rPr>
          <w:rFonts w:ascii="Times New Roman" w:hAnsi="Times New Roman" w:eastAsia="Arial" w:cs="Times New Roman"/>
          <w:color w:val="auto"/>
          <w:sz w:val="24"/>
          <w:szCs w:val="24"/>
          <w:shd w:val="clear" w:color="auto" w:fill="ffff00"/>
          <w:lang w:eastAsia="en-US"/>
        </w:rPr>
      </w:r>
      <w:r>
        <w:rPr>
          <w:rFonts w:ascii="Times New Roman" w:hAnsi="Times New Roman" w:eastAsia="Arial" w:cs="Times New Roman"/>
          <w:color w:val="auto"/>
          <w:sz w:val="24"/>
          <w:szCs w:val="24"/>
          <w:shd w:val="clear" w:color="auto" w:fill="ffff00"/>
          <w:lang w:eastAsia="en-US"/>
        </w:rPr>
      </w:r>
      <w:r>
        <w:rPr>
          <w:rFonts w:ascii="Times New Roman" w:hAnsi="Times New Roman" w:eastAsia="Arial" w:cs="Times New Roman"/>
          <w:color w:val="auto"/>
          <w:sz w:val="24"/>
          <w:szCs w:val="24"/>
          <w:shd w:val="clear" w:color="auto" w:fill="ffff00"/>
          <w:lang w:eastAsia="en-US"/>
        </w:rPr>
      </w:r>
    </w:p>
    <w:p>
      <w:pPr>
        <w:pStyle w:val="1164"/>
        <w:numPr>
          <w:ilvl w:val="0"/>
          <w:numId w:val="23"/>
        </w:numPr>
        <w:ind w:left="284" w:hanging="284"/>
        <w:jc w:val="both"/>
        <w:spacing w:after="0" w:line="240" w:lineRule="auto"/>
        <w:rPr>
          <w:rFonts w:ascii="Times New Roman" w:hAnsi="Times New Roman" w:eastAsia="Arial" w:cs="Times New Roman"/>
          <w:color w:val="auto"/>
          <w:sz w:val="24"/>
          <w:szCs w:val="24"/>
          <w:shd w:val="clear" w:color="auto" w:fill="ffff00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Nemovitos</w:t>
      </w:r>
      <w:r>
        <w:rPr>
          <w:rFonts w:ascii="Times New Roman" w:hAnsi="Times New Roman" w:cs="Times New Roman"/>
          <w:sz w:val="24"/>
          <w:szCs w:val="24"/>
        </w:rPr>
        <w:t xml:space="preserve">ti jsou prosty právních vad, zejména na nich nevázne žádné zástavní právo, žádné věcné břemeno, nájemní právo, ani do nabytí právní moci rozhodnutí o povolení vkladu vlastnického práva ve prospěch Kupujících do katastru nemovitostí takováto práva nezřídí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;</w:t>
      </w:r>
      <w:r>
        <w:rPr>
          <w:rFonts w:ascii="Times New Roman" w:hAnsi="Times New Roman" w:eastAsia="Arial" w:cs="Times New Roman"/>
          <w:color w:val="auto"/>
          <w:sz w:val="24"/>
          <w:szCs w:val="24"/>
          <w:shd w:val="clear" w:color="auto" w:fill="ffff00"/>
          <w:lang w:eastAsia="en-US"/>
        </w:rPr>
      </w:r>
      <w:r>
        <w:rPr>
          <w:rFonts w:ascii="Times New Roman" w:hAnsi="Times New Roman" w:eastAsia="Arial" w:cs="Times New Roman"/>
          <w:color w:val="auto"/>
          <w:sz w:val="24"/>
          <w:szCs w:val="24"/>
          <w:shd w:val="clear" w:color="auto" w:fill="ffff00"/>
          <w:lang w:eastAsia="en-US"/>
        </w:rPr>
      </w:r>
    </w:p>
    <w:p>
      <w:pPr>
        <w:pStyle w:val="1164"/>
        <w:ind w:left="284"/>
        <w:jc w:val="both"/>
        <w:spacing w:after="0" w:line="240" w:lineRule="auto"/>
        <w:rPr>
          <w:rFonts w:ascii="Times New Roman" w:hAnsi="Times New Roman" w:eastAsia="Arial" w:cs="Times New Roman"/>
          <w:color w:val="auto"/>
          <w:sz w:val="24"/>
          <w:szCs w:val="24"/>
          <w:shd w:val="clear" w:color="auto" w:fill="ffff00"/>
          <w:lang w:eastAsia="en-US"/>
        </w:rPr>
      </w:pPr>
      <w:r>
        <w:rPr>
          <w:rFonts w:ascii="Times New Roman" w:hAnsi="Times New Roman" w:eastAsia="Arial" w:cs="Times New Roman"/>
          <w:color w:val="auto"/>
          <w:sz w:val="24"/>
          <w:szCs w:val="24"/>
          <w:shd w:val="clear" w:color="auto" w:fill="ffff00"/>
          <w:lang w:eastAsia="en-US"/>
        </w:rPr>
      </w:r>
      <w:r>
        <w:rPr>
          <w:rFonts w:ascii="Times New Roman" w:hAnsi="Times New Roman" w:eastAsia="Arial" w:cs="Times New Roman"/>
          <w:color w:val="auto"/>
          <w:sz w:val="24"/>
          <w:szCs w:val="24"/>
          <w:shd w:val="clear" w:color="auto" w:fill="ffff00"/>
          <w:lang w:eastAsia="en-US"/>
        </w:rPr>
      </w:r>
      <w:r>
        <w:rPr>
          <w:rFonts w:ascii="Times New Roman" w:hAnsi="Times New Roman" w:eastAsia="Arial" w:cs="Times New Roman"/>
          <w:color w:val="auto"/>
          <w:sz w:val="24"/>
          <w:szCs w:val="24"/>
          <w:shd w:val="clear" w:color="auto" w:fill="ffff00"/>
          <w:lang w:eastAsia="en-US"/>
        </w:rPr>
      </w:r>
    </w:p>
    <w:p>
      <w:pPr>
        <w:pStyle w:val="1164"/>
        <w:numPr>
          <w:ilvl w:val="0"/>
          <w:numId w:val="23"/>
        </w:numPr>
        <w:ind w:left="284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Nemovitosti ani žádná práva s nimi spojená nejsou předmětem žádného sporu ani žádného řízení; žádná třetí osoba nevznesla ve vztahu k Nemovitostem nárok, v jehož důsledku by mohlo dojít k omezení jeho práva Nemovitosti prodat Kupujícím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3"/>
        </w:numPr>
        <w:ind w:left="284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není omezen, a to ani soudním či správním rozhodnutím, ve smluvní volnosti nakládat s Nemovitostmi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3"/>
        </w:numPr>
        <w:ind w:left="284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nepodal k soudu vůči sobě návrh na insolvenci, proti němu není vedeno exekuční řízení ani výkon rozhodnutí a ani řízení podle insolvenčního zákona;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3"/>
        </w:numPr>
        <w:ind w:left="284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nemá žádné splatné závazky z titulu daní, poplatků nebo sankcí vůči finančním úřadům nebo jiným státním orgánům v souvislosti s Nemovitostmi;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3"/>
        </w:numPr>
        <w:ind w:left="284" w:hanging="284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v Nemovitostech nenachází rodinná domácnost manželů ve smyslu </w:t>
      </w:r>
      <w:r>
        <w:rPr>
          <w:rFonts w:ascii="Times New Roman" w:hAnsi="Times New Roman" w:cs="Times New Roman"/>
          <w:sz w:val="24"/>
          <w:szCs w:val="24"/>
        </w:rPr>
        <w:t xml:space="preserve">ust</w:t>
      </w:r>
      <w:r>
        <w:rPr>
          <w:rFonts w:ascii="Times New Roman" w:hAnsi="Times New Roman" w:cs="Times New Roman"/>
          <w:sz w:val="24"/>
          <w:szCs w:val="24"/>
        </w:rPr>
        <w:t xml:space="preserve">. § 747 zákona č. 89/2012, občanského zákoníku;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4"/>
        <w:ind w:left="284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64"/>
        <w:numPr>
          <w:ilvl w:val="0"/>
          <w:numId w:val="23"/>
        </w:numPr>
        <w:ind w:left="284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veškerá prohlášení uvedená v tomto odstavci Smlouvy budou platná i v období od uzavření této Smlouvy do dne provedení vkladu vlastnického práva ve prospěch Kupujících podle této Smlouvy.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0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2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Pokud by někdo vůči Kupují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cím uplatňoval jakoukoliv pohledávku či jiné právo vzniklé před datem, k němuž je proveden vklad vlastnického práva k Nemovitostem, spojené s vlastnictvím a užíváním Nemovitostí, zavazuje se Prodávající, že pohledávku uhradí, resp. jiné právo uspokojí sám.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ind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2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Kupující prohlašují a ujišťují Prodávajícího, že měli dostatek možností a dost</w:t>
      </w:r>
      <w:r>
        <w:rPr>
          <w:rFonts w:ascii="Times New Roman" w:hAnsi="Times New Roman" w:cs="Times New Roman"/>
          <w:sz w:val="24"/>
          <w:szCs w:val="24"/>
        </w:rPr>
        <w:t xml:space="preserve">atek času si Nemovitosti před uzavřením této Smlouvy řádně prohlédnout, řádně se seznámili se stavem Nemovitostí, jejich součástmi a příslušenstvím a v tomto stavu Nemovitosti kupují. Kupující se řádně seznámili s </w:t>
      </w:r>
      <w:r>
        <w:rPr>
          <w:rFonts w:ascii="Times New Roman" w:hAnsi="Times New Roman" w:cs="Times New Roman"/>
          <w:sz w:val="24"/>
          <w:szCs w:val="24"/>
        </w:rPr>
        <w:t xml:space="preserve">faktickým i právním stavem Nemovitostí, jejich součástmi a příslušenstvím, nezjistili žádné zjevné vady, které by bránily užívání kterékoliv části Nemov</w:t>
      </w:r>
      <w:r>
        <w:rPr>
          <w:rFonts w:ascii="Times New Roman" w:hAnsi="Times New Roman" w:cs="Times New Roman"/>
          <w:sz w:val="24"/>
          <w:szCs w:val="24"/>
        </w:rPr>
        <w:t xml:space="preserve">itosti, mají zájem si ve stávajícím faktickém i právním stavu Nemovitost od Prodávajícího převzít</w:t>
      </w:r>
      <w:r>
        <w:rPr>
          <w:rFonts w:ascii="Times New Roman" w:hAnsi="Times New Roman" w:cs="Times New Roman"/>
          <w:sz w:val="24"/>
          <w:szCs w:val="24"/>
        </w:rPr>
        <w:t xml:space="preserve"> a v tomto stavu Nemovitosti kupují.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2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Kupující potvrzují, že si Nemovitosti prohlédli, včetně možnosti přizvat odborníka, a kupují je ve stavu, v jakém stojí a leží, s přihlédnutím k jejich stáří a obvyklému opotřebení.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1164"/>
        <w:ind w:left="0" w:hanging="284"/>
        <w:jc w:val="both"/>
        <w:spacing w:after="0" w:line="240" w:lineRule="auto"/>
        <w:rPr>
          <w:highlight w:val="none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1164"/>
        <w:ind w:left="0" w:firstLine="0"/>
        <w:jc w:val="both"/>
        <w:spacing w:after="0" w:line="240" w:lineRule="auto"/>
        <w:rPr>
          <w:highlight w:val="none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Prodávající odpovídá za skryté vady, které existovaly ke dni převodu vlastnického práva, v rozsahu stanoveném příslušnými právními předpisy.</w:t>
      </w:r>
      <w:r>
        <w:rPr>
          <w:highlight w:val="none"/>
        </w:rPr>
      </w:r>
      <w:r>
        <w:rPr>
          <w:highlight w:val="none"/>
        </w:rPr>
      </w:r>
    </w:p>
    <w:p>
      <w:pPr>
        <w:pStyle w:val="1164"/>
        <w:ind w:left="0" w:hanging="284"/>
        <w:jc w:val="both"/>
        <w:spacing w:after="0" w:line="240" w:lineRule="auto"/>
        <w:rPr>
          <w:highlight w:val="none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left="0" w:firstLine="0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  <w:t xml:space="preserve">Prodávající prohlašuje, že mu nejsou známy žádné skryté vady Nemovitostí, na které by Kupující výslovně neupozornil.</w:t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ind w:hanging="284"/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color w:val="auto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8a794c"/>
          <w:sz w:val="28"/>
          <w:szCs w:val="28"/>
        </w:rPr>
      </w:pPr>
      <w:r>
        <w:rPr>
          <w:rFonts w:ascii="Times New Roman" w:hAnsi="Times New Roman" w:cs="Times New Roman"/>
          <w:b/>
          <w:color w:val="8a794c"/>
          <w:sz w:val="28"/>
          <w:szCs w:val="28"/>
        </w:rPr>
        <w:t xml:space="preserve">Čl. V.</w:t>
      </w:r>
      <w:r>
        <w:rPr>
          <w:rFonts w:ascii="Times New Roman" w:hAnsi="Times New Roman" w:cs="Times New Roman"/>
          <w:b/>
          <w:color w:val="8a794c"/>
          <w:sz w:val="28"/>
          <w:szCs w:val="28"/>
        </w:rPr>
      </w:r>
      <w:r>
        <w:rPr>
          <w:rFonts w:ascii="Times New Roman" w:hAnsi="Times New Roman" w:cs="Times New Roman"/>
          <w:b/>
          <w:color w:val="8a794c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8a794c"/>
          <w:sz w:val="28"/>
          <w:szCs w:val="28"/>
        </w:rPr>
      </w:pPr>
      <w:r>
        <w:rPr>
          <w:rFonts w:ascii="Times New Roman" w:hAnsi="Times New Roman" w:cs="Times New Roman"/>
          <w:b/>
          <w:color w:val="8a794c"/>
          <w:sz w:val="28"/>
          <w:szCs w:val="28"/>
        </w:rPr>
        <w:t xml:space="preserve">Vklad vlastnického práva</w:t>
      </w:r>
      <w:r>
        <w:rPr>
          <w:rFonts w:ascii="Times New Roman" w:hAnsi="Times New Roman" w:cs="Times New Roman"/>
          <w:b/>
          <w:color w:val="8a794c"/>
          <w:sz w:val="28"/>
          <w:szCs w:val="28"/>
        </w:rPr>
      </w:r>
      <w:r>
        <w:rPr>
          <w:rFonts w:ascii="Times New Roman" w:hAnsi="Times New Roman" w:cs="Times New Roman"/>
          <w:b/>
          <w:color w:val="8a794c"/>
          <w:sz w:val="28"/>
          <w:szCs w:val="28"/>
        </w:rPr>
      </w:r>
    </w:p>
    <w:p>
      <w:pPr>
        <w:ind w:hanging="284"/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color w:val="auto"/>
          <w:sz w:val="24"/>
          <w:szCs w:val="24"/>
        </w:rPr>
      </w:r>
    </w:p>
    <w:p>
      <w:pPr>
        <w:pStyle w:val="1164"/>
        <w:numPr>
          <w:ilvl w:val="0"/>
          <w:numId w:val="26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Zároveň s touto Smlouvou Smluvní strany podepisují návrh na vklad vlastnického práva k Nemovitostem ve prospěch Kupujících (dále jako „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Návrh na vklad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“). </w:t>
      </w:r>
      <w:r>
        <w:rPr>
          <w:rFonts w:ascii="Times New Roman" w:hAnsi="Times New Roman" w:eastAsia="TimesNewRoman" w:cs="Times New Roman"/>
          <w:color w:val="000000"/>
          <w:sz w:val="24"/>
          <w:szCs w:val="24"/>
        </w:rPr>
        <w:t xml:space="preserve">Návrh na vklad podá Schovatel příslušnému katastrálnímu úřadu do pěti (5) pracovních dnů ode dne uhrazení druhé části Kupní ceny dle čl. III. odst. 2 této Smlouvy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0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6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Vlastnické právo k Nemovito</w:t>
      </w:r>
      <w:r>
        <w:rPr>
          <w:rFonts w:ascii="Times New Roman" w:hAnsi="Times New Roman" w:cs="Times New Roman"/>
          <w:sz w:val="24"/>
          <w:szCs w:val="24"/>
        </w:rPr>
        <w:t xml:space="preserve">stem spolu s veškerými souvisejícími právy a povinnostmi přechází na Kupující na základě provedení vkladu vlastnického práva ve prospěch Kupujících do katastru nemovitostí, a to zpětně ke dni, kdy byl u příslušného katastrálního úřadu podán Návrh na vklad.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0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6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Smluvní strany se zavazují učinit veš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keré potřebné právní jednání, aby katastrální úřad mohl řádně rozhodnout o povolení vkladu vlastnického práva ve prospěch Kupujících k Nemovitostem, a to v co nejkratším termínu. Za tímto účelem se Smluvní strany zavazují poskytnout si vzájemně součinnost.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0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6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Jestliže katastrální úřad příslušný pro vklad práva podle této Smlouvy rozhodne, že příslušný Návrh na vklad anebo tato Smlouva nejsou dostatečným podkladem</w:t>
      </w:r>
      <w:r>
        <w:rPr>
          <w:rFonts w:ascii="Times New Roman" w:hAnsi="Times New Roman" w:cs="Times New Roman"/>
          <w:sz w:val="24"/>
          <w:szCs w:val="24"/>
        </w:rPr>
        <w:t xml:space="preserve"> pro takový zápis, pak se Smluvní strany zavazují, že ihned zahájí veškerá potřebná opatření a provedou potřebné právní úkony směřující k odstranění nedostatků v Návrhu na vklad nebo v této Smlouvě tak, aby vklad podle této Smlouvy byl proveden co nejdříve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0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6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Správní poplatek za zahájení vkladového řízení hradí Kupující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ind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8a794c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  <w:t xml:space="preserve">Čl. VI.</w:t>
      </w: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8a794c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  <w:t xml:space="preserve">Předání Nemovitostí</w:t>
      </w: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</w:r>
    </w:p>
    <w:p>
      <w:pPr>
        <w:ind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8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Prodávající se zavazuje předat Nemovitosti Kupujícím a Kupující se zavazují je převzít nejpozději do deseti (10) dnů ode dne</w:t>
      </w:r>
      <w:r>
        <w:rPr>
          <w:rFonts w:ascii="Times New Roman" w:hAnsi="Times New Roman" w:eastAsia="TimesNew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vkladu vlastnického práva k Nemovitostem ve prospěch Kupující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ch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do katastru nemovitostí.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ind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8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Rozhodným dnem pro rozdělení odpovědnosti za hrazení nákladů za služby a média dodávané do Nemovitostí mezi Prodávajícího a Kupující stanovují Smluvní strany den předání Nemovitostí. Rozhodný stav měřidel pro určení odpovědnosti za hrazení</w:t>
      </w:r>
      <w:r>
        <w:rPr>
          <w:rFonts w:ascii="Times New Roman" w:hAnsi="Times New Roman" w:cs="Times New Roman"/>
          <w:sz w:val="24"/>
          <w:szCs w:val="24"/>
        </w:rPr>
        <w:t xml:space="preserve"> nákladů je stav uvedený v protokolu o předání a převzetí Nemovitostí. Veškeré služby a média dodaná do Nemovitostí do rozhodného dne uhradí dodavatelům Prodávající, veškeré služby a média dodaná do Nemovitostí po rozhodném dnu uhradí dodavatelům Kupující.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0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8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Okamžikem předání přechází na Kupující nebezpečí škody na věci, nahodilé zkázy a nahodilého zhoršení stavu Nemovitostí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0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8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Prodávající se zavazuje, že ke dni předání budou Nemovitosti vyklizené, </w:t>
      </w:r>
      <w:r>
        <w:rPr>
          <w:rFonts w:ascii="Times New Roman" w:hAnsi="Times New Roman" w:cs="Times New Roman"/>
          <w:sz w:val="24"/>
          <w:szCs w:val="24"/>
        </w:rPr>
        <w:t xml:space="preserve">pokud se Smluvní strany nedohodly jinak a budou podány žádosti o zrušení trvalého bydliště všech osob, které jsou na adrese Nemovitostí přihlášeny; totéž platí, pokud jde o sídla právnických osob nebo místo podnikání fyzických osob.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0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28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Nesplní-li Prodávající svou povinnost předat Kupujícím Nemovitosti ve lhůtě dle odst. 1. tohoto článku, je povinen uhradit Kupujícím smluvní pokutu ve výši 5.000,- Kč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(slovy: pět tisíc korun českých) za každý započatý týden prodlení se splněním této jeho povinnosti.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0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8a794c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  <w:t xml:space="preserve">Čl. VII.</w:t>
      </w: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8a794c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  <w:t xml:space="preserve">Odstoupení od Smlouvy</w:t>
      </w: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8a794c"/>
          <w:sz w:val="28"/>
          <w:szCs w:val="28"/>
        </w:rPr>
      </w:r>
    </w:p>
    <w:p>
      <w:pPr>
        <w:ind w:hanging="284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color w:val="auto"/>
          <w:sz w:val="24"/>
          <w:szCs w:val="24"/>
        </w:rPr>
      </w:r>
    </w:p>
    <w:p>
      <w:pPr>
        <w:pStyle w:val="1164"/>
        <w:numPr>
          <w:ilvl w:val="0"/>
          <w:numId w:val="30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Kupující jsou oprávněni od této Smlouvy odstoupit v případě, že se jakékoliv z prohlášení Prodávajícího obsažené v této Smlouvě ukáže nepravdivým či klamavým a Prodávající nezjedná nápravu ani do čtrnácti (14) dnů od doručení písemné výzvy Kupujících.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0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0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30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Pro případ, </w:t>
      </w:r>
      <w:r>
        <w:rPr>
          <w:rFonts w:ascii="Times New Roman" w:hAnsi="Times New Roman" w:cs="Times New Roman"/>
          <w:sz w:val="24"/>
          <w:szCs w:val="24"/>
        </w:rPr>
        <w:t xml:space="preserve">že Kupující neuhradí druhou část Kupní ceny v termínech dle této Smlouvy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, zavazují se Kupující společně a nerozdílně uhradit Prodávajícímu smluvní pokutu ve výši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1.000,- Kč (slovy: tisíc korun českých) za každ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ý den prodlení, a to do sedmi (7) dnů od doručení písemné výzvy Prodávajícího k uhrazení smluvní pokuty. V případě prodlení Kupujících se splněním této jejich povinnosti delší než čtrnáct (14) dnů je strana Prodávající oprávněna od této Smlouvy odstoupit. 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30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V případě odstoupení od této Smlouvy jsou Smluvní strany navzájem povinny vydat si vše, co si na základě této Smlouvy plnily, vyjma rezervačního poplatku, resp. první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části Kupní ceny, a to ve lhůtě čtrnáct (14) dnů ode dne doručení písemného oznámení o odstoupení od této Smlouvy, s výjimkou v případě odstoupení od této Smlouvy na základě odst. 1. tohoto článku, kdy se první část Kupní ceny vrací Kupujícím v plné výši.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ind w:hanging="284"/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color w:val="auto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8a794c"/>
          <w:sz w:val="28"/>
          <w:szCs w:val="28"/>
        </w:rPr>
      </w:pPr>
      <w:r>
        <w:rPr>
          <w:rFonts w:ascii="Times New Roman" w:hAnsi="Times New Roman" w:cs="Times New Roman"/>
          <w:b/>
          <w:color w:val="8a794c"/>
          <w:sz w:val="28"/>
          <w:szCs w:val="28"/>
        </w:rPr>
        <w:t xml:space="preserve">Čl. VIII.</w:t>
      </w:r>
      <w:r>
        <w:rPr>
          <w:rFonts w:ascii="Times New Roman" w:hAnsi="Times New Roman" w:cs="Times New Roman"/>
          <w:b/>
          <w:color w:val="8a794c"/>
          <w:sz w:val="28"/>
          <w:szCs w:val="28"/>
        </w:rPr>
      </w:r>
      <w:r>
        <w:rPr>
          <w:rFonts w:ascii="Times New Roman" w:hAnsi="Times New Roman" w:cs="Times New Roman"/>
          <w:b/>
          <w:color w:val="8a794c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8a794c"/>
          <w:sz w:val="28"/>
          <w:szCs w:val="28"/>
        </w:rPr>
      </w:pPr>
      <w:r>
        <w:rPr>
          <w:rFonts w:ascii="Times New Roman" w:hAnsi="Times New Roman" w:cs="Times New Roman"/>
          <w:b/>
          <w:color w:val="8a794c"/>
          <w:sz w:val="28"/>
          <w:szCs w:val="28"/>
        </w:rPr>
        <w:t xml:space="preserve">Závěrečná ustanovení</w:t>
      </w:r>
      <w:r>
        <w:rPr>
          <w:rFonts w:ascii="Times New Roman" w:hAnsi="Times New Roman" w:cs="Times New Roman"/>
          <w:b/>
          <w:color w:val="8a794c"/>
          <w:sz w:val="28"/>
          <w:szCs w:val="28"/>
        </w:rPr>
      </w:r>
      <w:r>
        <w:rPr>
          <w:rFonts w:ascii="Times New Roman" w:hAnsi="Times New Roman" w:cs="Times New Roman"/>
          <w:b/>
          <w:color w:val="8a794c"/>
          <w:sz w:val="28"/>
          <w:szCs w:val="28"/>
        </w:rPr>
      </w:r>
    </w:p>
    <w:p>
      <w:pPr>
        <w:ind w:hanging="284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color w:val="auto"/>
          <w:sz w:val="24"/>
          <w:szCs w:val="24"/>
        </w:rPr>
      </w:r>
      <w:r>
        <w:rPr>
          <w:rFonts w:ascii="Times New Roman" w:hAnsi="Times New Roman" w:cs="Times New Roman"/>
          <w:b/>
          <w:color w:val="auto"/>
          <w:sz w:val="24"/>
          <w:szCs w:val="24"/>
        </w:rPr>
      </w:r>
    </w:p>
    <w:p>
      <w:pPr>
        <w:pStyle w:val="1164"/>
        <w:numPr>
          <w:ilvl w:val="0"/>
          <w:numId w:val="32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Tato Smlouva se vyhotovuje v šeti (6) stejnopisech, z nichž každá ze Smluvních stran obd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rží po jednom stejnopise, jeden stejnopis s úředně ověřenými podpisy Smluvních stran je určen pro účely vkladu vlastnického práva ve prospěch Kupujících do katastru nemovitostí a jeden stejnopis obdrží banka financující část Kupní ceny pro stranu Kupující.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0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32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Tato Smlouva obsahuje úplné ujednání o předmětu Smlouvy a všech náležitostech, které Smluvní strany měly a chtěly ve Smlouvě ujednat, a které považují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za důležité pro závaznost této Smlouvy. Žádný projev Smluvních stran učiněný při jednání o této Smlouvě ani projev učiněný po uzavření této Smlouvy nesmí být vykládán v rozporu s ustanoveními této Smlouvy a nezakládá žádný závazek žádné ze Smluvních stran.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0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32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Tato Smlouva nabývá platnosti a účinnosti dnem jejího podpisu Smluvními stranami. 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0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32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Tato Smlouva se řídí právním řádem České republiky. 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0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32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Tato Smlouva může být měněna a doplňována pouze písemnými dodatky podepsanými Smluvními stranami.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ind w:left="0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1164"/>
        <w:numPr>
          <w:ilvl w:val="0"/>
          <w:numId w:val="32"/>
        </w:numPr>
        <w:ind w:left="0" w:hanging="284"/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Smluvní strany prohlašuj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í, že si Smlouvu přečetly, a že porozuměly jejímu obsahu a účelu. Dále Smluvní strany prohlašují, že tato Smlouva je výrazem jejich pravé a svobodné vůle, a že není uzavírána v tísni ani za nápadně nevýhodných podmínek. Na důkaz toho připojují své podpisy.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Praze 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dne</w:t>
      </w:r>
      <w:r>
        <w:rPr>
          <w:rFonts w:ascii="Times New Roman" w:hAnsi="Times New Roman" w:cs="Times New Roman"/>
          <w:sz w:val="24"/>
          <w:szCs w:val="24"/>
        </w:rPr>
        <w:t xml:space="preserve">           2026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………………………………..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437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………………………………..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eastAsia="Times New Roman" w:cs="Times New Roman"/>
          <w:color w:val="auto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417" w:right="1417" w:bottom="1417" w:left="1417" w:header="0" w:footer="708" w:gutter="0"/>
      <w:cols w:num="1" w:sep="0" w:space="708" w:equalWidth="1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Květa Tučková" w:date="2025-05-28T11:10:00Z" w:initials="KT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Prodloužení lhůty k úhradě vzhledem k vysokým pokutám ve smlouvě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DF94009" w16cex:dateUtc="2025-05-28T09:10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2DF9400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">
    <w:panose1 w:val="02020603050405020304"/>
  </w:font>
  <w:font w:name="Helvetica">
    <w:panose1 w:val="020B0604020202020204"/>
  </w:font>
  <w:font w:name="Segoe UI">
    <w:panose1 w:val="020B0502040204020203"/>
  </w:font>
  <w:font w:name="Lohit Hindi">
    <w:panose1 w:val="02000603000000000000"/>
  </w:font>
  <w:font w:name="Microsoft YaHei">
    <w:panose1 w:val="020B0503020204020204"/>
  </w:font>
  <w:font w:name="Times New Roman">
    <w:panose1 w:val="02020603050405020304"/>
  </w:font>
  <w:font w:name="Wingdings">
    <w:panose1 w:val="05000000000000000000"/>
  </w:font>
  <w:font w:name="Symbol">
    <w:panose1 w:val="05050102010706020507"/>
  </w:font>
  <w:font w:name="Arial">
    <w:panose1 w:val="020B0604020202020204"/>
  </w:font>
  <w:font w:name="Mangal">
    <w:panose1 w:val="02040503050203030202"/>
  </w:font>
  <w:font w:name="Courier New">
    <w:panose1 w:val="02070309020205020404"/>
  </w:font>
  <w:font w:name="SimSun;Arial Unicode MS">
    <w:panose1 w:val="02010600030101010101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669238322"/>
      <w:docPartObj>
        <w:docPartGallery w:val="Page Numbers (Top of Page)"/>
        <w:docPartUnique w:val="true"/>
      </w:docPartObj>
      <w:rPr/>
    </w:sdtPr>
    <w:sdtContent>
      <w:p>
        <w:pPr>
          <w:pStyle w:val="1177"/>
          <w:jc w:val="center"/>
        </w:pPr>
        <w:r>
          <w:rPr>
            <w:rFonts w:ascii="Times New Roman" w:hAnsi="Times New Roman"/>
            <w:b/>
            <w:sz w:val="24"/>
          </w:rPr>
          <w:fldChar w:fldCharType="begin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PAGE</w:instrText>
        </w:r>
        <w:r>
          <w:rPr>
            <w:rFonts w:ascii="Times New Roman" w:hAnsi="Times New Roman"/>
            <w:b/>
            <w:sz w:val="24"/>
          </w:rPr>
          <w:fldChar w:fldCharType="separate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 xml:space="preserve">3</w:t>
        </w:r>
        <w:r>
          <w:rPr>
            <w:rFonts w:ascii="Times New Roman" w:hAnsi="Times New Roman"/>
            <w:b/>
            <w:sz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  <w:t xml:space="preserve"> / 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NUMPAGES</w:instrTex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 xml:space="preserve">5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  <w:r/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5"/>
    </w:pPr>
    <w:r/>
    <w:r/>
  </w:p>
  <w:p>
    <w:pPr>
      <w:pStyle w:val="1175"/>
    </w:pPr>
    <w:r/>
    <w:r/>
  </w:p>
  <w:p>
    <w:pPr>
      <w:pStyle w:val="1175"/>
      <w:jc w:val="right"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1164408" cy="240146"/>
              <wp:effectExtent l="0" t="0" r="4445" b="1270"/>
              <wp:docPr id="1" name="Obrázek 16" descr="Obsah obrázku Písmo, text, typografie, design&#10;&#10;Popis byl vytvořen automaticky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43902" name="Obrázek 16" descr="Obsah obrázku Písmo, text, typografie, design&#10;&#10;Popis byl vytvořen automaticky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248890" cy="25756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91.69pt;height:18.91pt;mso-wrap-distance-left:0.00pt;mso-wrap-distance-top:0.00pt;mso-wrap-distance-right:0.00pt;mso-wrap-distance-bottom:0.00pt;" stroked="false">
              <v:path textboxrect="0,0,0,0"/>
              <v:imagedata r:id="rId1" o:title=""/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pStyle w:val="1180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 w:cs="Wingdings"/>
      </w:rPr>
    </w:lvl>
  </w:abstractNum>
  <w:abstractNum w:abstractNumId="5">
    <w:multiLevelType w:val="hybridMultilevel"/>
    <w:lvl w:ilvl="0">
      <w:start w:val="5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SimSun;Arial Unicode MS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1584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</w:pPr>
      <w:rPr>
        <w:rFonts w:hint="default" w:ascii="Symbol" w:hAnsi="Symbol" w:cs="Symbol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 w:cs="Symbol"/>
        <w:sz w:val="24"/>
        <w:szCs w:val="24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 w:cs="Symbol"/>
        <w:sz w:val="24"/>
        <w:szCs w:val="24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 w:cs="Wingdings"/>
      </w:rPr>
    </w:lvl>
  </w:abstractNum>
  <w:abstractNum w:abstractNumId="8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19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6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3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0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7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5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2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9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671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</w:pPr>
      <w:rPr>
        <w:rFonts w:hint="default" w:ascii="Symbol" w:hAnsi="Symbol" w:cs="Symbol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 w:cs="Symbol"/>
        <w:sz w:val="24"/>
        <w:szCs w:val="24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 w:cs="Symbol"/>
        <w:sz w:val="24"/>
        <w:szCs w:val="24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lowerRoman"/>
      <w:isLgl w:val="false"/>
      <w:suff w:val="tab"/>
      <w:lvlText w:val="%1)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1">
    <w:multiLevelType w:val="hybridMultilevel"/>
    <w:lvl w:ilvl="0">
      <w:start w:val="2"/>
      <w:numFmt w:val="bullet"/>
      <w:isLgl w:val="false"/>
      <w:suff w:val="tab"/>
      <w:lvlText w:val="-"/>
      <w:lvlJc w:val="left"/>
      <w:pPr>
        <w:ind w:left="36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7"/>
  </w:num>
  <w:num w:numId="3">
    <w:abstractNumId w:val="7"/>
  </w:num>
  <w:num w:numId="4">
    <w:abstractNumId w:val="14"/>
  </w:num>
  <w:num w:numId="5">
    <w:abstractNumId w:val="15"/>
  </w:num>
  <w:num w:numId="6">
    <w:abstractNumId w:val="21"/>
  </w:num>
  <w:num w:numId="7">
    <w:abstractNumId w:val="18"/>
  </w:num>
  <w:num w:numId="8">
    <w:abstractNumId w:val="11"/>
  </w:num>
  <w:num w:numId="9">
    <w:abstractNumId w:val="28"/>
  </w:num>
  <w:num w:numId="10">
    <w:abstractNumId w:val="22"/>
  </w:num>
  <w:num w:numId="11">
    <w:abstractNumId w:val="0"/>
  </w:num>
  <w:num w:numId="12">
    <w:abstractNumId w:val="2"/>
  </w:num>
  <w:num w:numId="13">
    <w:abstractNumId w:val="6"/>
  </w:num>
  <w:num w:numId="14">
    <w:abstractNumId w:val="20"/>
  </w:num>
  <w:num w:numId="15">
    <w:abstractNumId w:val="33"/>
  </w:num>
  <w:num w:numId="16">
    <w:abstractNumId w:val="4"/>
  </w:num>
  <w:num w:numId="17">
    <w:abstractNumId w:val="3"/>
  </w:num>
  <w:num w:numId="18">
    <w:abstractNumId w:val="16"/>
  </w:num>
  <w:num w:numId="19">
    <w:abstractNumId w:val="29"/>
  </w:num>
  <w:num w:numId="20">
    <w:abstractNumId w:val="13"/>
  </w:num>
  <w:num w:numId="21">
    <w:abstractNumId w:val="17"/>
  </w:num>
  <w:num w:numId="22">
    <w:abstractNumId w:val="1"/>
  </w:num>
  <w:num w:numId="23">
    <w:abstractNumId w:val="31"/>
  </w:num>
  <w:num w:numId="24">
    <w:abstractNumId w:val="5"/>
  </w:num>
  <w:num w:numId="25">
    <w:abstractNumId w:val="32"/>
  </w:num>
  <w:num w:numId="26">
    <w:abstractNumId w:val="30"/>
  </w:num>
  <w:num w:numId="27">
    <w:abstractNumId w:val="19"/>
  </w:num>
  <w:num w:numId="28">
    <w:abstractNumId w:val="12"/>
  </w:num>
  <w:num w:numId="29">
    <w:abstractNumId w:val="25"/>
  </w:num>
  <w:num w:numId="30">
    <w:abstractNumId w:val="9"/>
  </w:num>
  <w:num w:numId="31">
    <w:abstractNumId w:val="10"/>
  </w:num>
  <w:num w:numId="32">
    <w:abstractNumId w:val="24"/>
  </w:num>
  <w:num w:numId="33">
    <w:abstractNumId w:val="8"/>
  </w:num>
  <w:num w:numId="34">
    <w:abstractNumId w:val="26"/>
  </w:num>
  <w:num w:numId="35">
    <w:abstractNumId w:val="34"/>
  </w:num>
  <w:num w:numId="36">
    <w:abstractNumId w:val="3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věta Tučková">
    <w15:presenceInfo w15:providerId="Windows Live" w15:userId="838334dcb0f49ad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cs-CZ" w:eastAsia="cs-CZ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81" w:default="1">
    <w:name w:val="Normal"/>
    <w:pPr>
      <w:spacing w:after="160" w:line="252" w:lineRule="auto"/>
    </w:pPr>
    <w:rPr>
      <w:rFonts w:ascii="Calibri" w:hAnsi="Calibri" w:eastAsia="SimSun;Arial Unicode MS" w:cs="Calibri"/>
      <w:color w:val="00000a"/>
      <w:lang w:eastAsia="zh-CN"/>
    </w:rPr>
  </w:style>
  <w:style w:type="paragraph" w:styleId="782">
    <w:name w:val="Heading 1"/>
    <w:basedOn w:val="781"/>
    <w:next w:val="781"/>
    <w:link w:val="80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83">
    <w:name w:val="Heading 2"/>
    <w:basedOn w:val="781"/>
    <w:next w:val="781"/>
    <w:link w:val="81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84">
    <w:name w:val="Heading 3"/>
    <w:basedOn w:val="781"/>
    <w:next w:val="781"/>
    <w:link w:val="81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85">
    <w:name w:val="Heading 4"/>
    <w:basedOn w:val="781"/>
    <w:next w:val="781"/>
    <w:link w:val="8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86">
    <w:name w:val="Heading 5"/>
    <w:basedOn w:val="781"/>
    <w:next w:val="781"/>
    <w:link w:val="81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87">
    <w:name w:val="Heading 6"/>
    <w:basedOn w:val="781"/>
    <w:next w:val="781"/>
    <w:link w:val="8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88">
    <w:name w:val="Heading 7"/>
    <w:basedOn w:val="781"/>
    <w:next w:val="781"/>
    <w:link w:val="81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89">
    <w:name w:val="Heading 8"/>
    <w:basedOn w:val="781"/>
    <w:next w:val="781"/>
    <w:link w:val="81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90">
    <w:name w:val="Heading 9"/>
    <w:basedOn w:val="781"/>
    <w:next w:val="781"/>
    <w:link w:val="8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1" w:default="1">
    <w:name w:val="Default Paragraph Font"/>
    <w:uiPriority w:val="1"/>
    <w:semiHidden/>
    <w:unhideWhenUsed/>
  </w:style>
  <w:style w:type="table" w:styleId="7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3" w:default="1">
    <w:name w:val="No List"/>
    <w:uiPriority w:val="99"/>
    <w:semiHidden/>
    <w:unhideWhenUsed/>
  </w:style>
  <w:style w:type="character" w:styleId="794" w:customStyle="1">
    <w:name w:val="Heading 1 Char"/>
    <w:basedOn w:val="791"/>
    <w:uiPriority w:val="9"/>
    <w:rPr>
      <w:rFonts w:ascii="Arial" w:hAnsi="Arial" w:eastAsia="Arial" w:cs="Arial"/>
      <w:sz w:val="40"/>
      <w:szCs w:val="40"/>
    </w:rPr>
  </w:style>
  <w:style w:type="character" w:styleId="795" w:customStyle="1">
    <w:name w:val="Heading 2 Char"/>
    <w:basedOn w:val="791"/>
    <w:uiPriority w:val="9"/>
    <w:rPr>
      <w:rFonts w:ascii="Arial" w:hAnsi="Arial" w:eastAsia="Arial" w:cs="Arial"/>
      <w:sz w:val="34"/>
    </w:rPr>
  </w:style>
  <w:style w:type="character" w:styleId="796" w:customStyle="1">
    <w:name w:val="Heading 3 Char"/>
    <w:basedOn w:val="791"/>
    <w:uiPriority w:val="9"/>
    <w:rPr>
      <w:rFonts w:ascii="Arial" w:hAnsi="Arial" w:eastAsia="Arial" w:cs="Arial"/>
      <w:sz w:val="30"/>
      <w:szCs w:val="30"/>
    </w:rPr>
  </w:style>
  <w:style w:type="character" w:styleId="797" w:customStyle="1">
    <w:name w:val="Heading 4 Char"/>
    <w:basedOn w:val="791"/>
    <w:uiPriority w:val="9"/>
    <w:rPr>
      <w:rFonts w:ascii="Arial" w:hAnsi="Arial" w:eastAsia="Arial" w:cs="Arial"/>
      <w:b/>
      <w:bCs/>
      <w:sz w:val="26"/>
      <w:szCs w:val="26"/>
    </w:rPr>
  </w:style>
  <w:style w:type="character" w:styleId="798" w:customStyle="1">
    <w:name w:val="Heading 5 Char"/>
    <w:basedOn w:val="791"/>
    <w:uiPriority w:val="9"/>
    <w:rPr>
      <w:rFonts w:ascii="Arial" w:hAnsi="Arial" w:eastAsia="Arial" w:cs="Arial"/>
      <w:b/>
      <w:bCs/>
      <w:sz w:val="24"/>
      <w:szCs w:val="24"/>
    </w:rPr>
  </w:style>
  <w:style w:type="character" w:styleId="799" w:customStyle="1">
    <w:name w:val="Heading 6 Char"/>
    <w:basedOn w:val="791"/>
    <w:uiPriority w:val="9"/>
    <w:rPr>
      <w:rFonts w:ascii="Arial" w:hAnsi="Arial" w:eastAsia="Arial" w:cs="Arial"/>
      <w:b/>
      <w:bCs/>
      <w:sz w:val="22"/>
      <w:szCs w:val="22"/>
    </w:rPr>
  </w:style>
  <w:style w:type="character" w:styleId="800" w:customStyle="1">
    <w:name w:val="Heading 7 Char"/>
    <w:basedOn w:val="7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1" w:customStyle="1">
    <w:name w:val="Heading 8 Char"/>
    <w:basedOn w:val="791"/>
    <w:uiPriority w:val="9"/>
    <w:rPr>
      <w:rFonts w:ascii="Arial" w:hAnsi="Arial" w:eastAsia="Arial" w:cs="Arial"/>
      <w:i/>
      <w:iCs/>
      <w:sz w:val="22"/>
      <w:szCs w:val="22"/>
    </w:rPr>
  </w:style>
  <w:style w:type="character" w:styleId="802" w:customStyle="1">
    <w:name w:val="Heading 9 Char"/>
    <w:basedOn w:val="791"/>
    <w:uiPriority w:val="9"/>
    <w:rPr>
      <w:rFonts w:ascii="Arial" w:hAnsi="Arial" w:eastAsia="Arial" w:cs="Arial"/>
      <w:i/>
      <w:iCs/>
      <w:sz w:val="21"/>
      <w:szCs w:val="21"/>
    </w:rPr>
  </w:style>
  <w:style w:type="character" w:styleId="803" w:customStyle="1">
    <w:name w:val="Title Char"/>
    <w:basedOn w:val="791"/>
    <w:uiPriority w:val="10"/>
    <w:rPr>
      <w:sz w:val="48"/>
      <w:szCs w:val="48"/>
    </w:rPr>
  </w:style>
  <w:style w:type="character" w:styleId="804" w:customStyle="1">
    <w:name w:val="Subtitle Char"/>
    <w:basedOn w:val="791"/>
    <w:uiPriority w:val="11"/>
    <w:rPr>
      <w:sz w:val="24"/>
      <w:szCs w:val="24"/>
    </w:rPr>
  </w:style>
  <w:style w:type="character" w:styleId="805" w:customStyle="1">
    <w:name w:val="Quote Char"/>
    <w:uiPriority w:val="29"/>
    <w:rPr>
      <w:i/>
    </w:rPr>
  </w:style>
  <w:style w:type="character" w:styleId="806" w:customStyle="1">
    <w:name w:val="Intense Quote Char"/>
    <w:uiPriority w:val="30"/>
    <w:rPr>
      <w:i/>
    </w:rPr>
  </w:style>
  <w:style w:type="character" w:styleId="807" w:customStyle="1">
    <w:name w:val="Footnote Text Char"/>
    <w:uiPriority w:val="99"/>
    <w:rPr>
      <w:sz w:val="18"/>
    </w:rPr>
  </w:style>
  <w:style w:type="character" w:styleId="808" w:customStyle="1">
    <w:name w:val="Endnote Text Char"/>
    <w:uiPriority w:val="99"/>
    <w:rPr>
      <w:sz w:val="20"/>
    </w:rPr>
  </w:style>
  <w:style w:type="character" w:styleId="809" w:customStyle="1">
    <w:name w:val="Nadpis 1 Char"/>
    <w:basedOn w:val="791"/>
    <w:link w:val="782"/>
    <w:uiPriority w:val="9"/>
    <w:rPr>
      <w:rFonts w:ascii="Arial" w:hAnsi="Arial" w:eastAsia="Arial" w:cs="Arial"/>
      <w:sz w:val="40"/>
      <w:szCs w:val="40"/>
    </w:rPr>
  </w:style>
  <w:style w:type="character" w:styleId="810" w:customStyle="1">
    <w:name w:val="Nadpis 2 Char"/>
    <w:basedOn w:val="791"/>
    <w:link w:val="783"/>
    <w:uiPriority w:val="9"/>
    <w:rPr>
      <w:rFonts w:ascii="Arial" w:hAnsi="Arial" w:eastAsia="Arial" w:cs="Arial"/>
      <w:sz w:val="34"/>
    </w:rPr>
  </w:style>
  <w:style w:type="character" w:styleId="811" w:customStyle="1">
    <w:name w:val="Nadpis 3 Char"/>
    <w:basedOn w:val="791"/>
    <w:link w:val="784"/>
    <w:uiPriority w:val="9"/>
    <w:rPr>
      <w:rFonts w:ascii="Arial" w:hAnsi="Arial" w:eastAsia="Arial" w:cs="Arial"/>
      <w:sz w:val="30"/>
      <w:szCs w:val="30"/>
    </w:rPr>
  </w:style>
  <w:style w:type="character" w:styleId="812" w:customStyle="1">
    <w:name w:val="Nadpis 4 Char"/>
    <w:basedOn w:val="791"/>
    <w:link w:val="785"/>
    <w:uiPriority w:val="9"/>
    <w:rPr>
      <w:rFonts w:ascii="Arial" w:hAnsi="Arial" w:eastAsia="Arial" w:cs="Arial"/>
      <w:b/>
      <w:bCs/>
      <w:sz w:val="26"/>
      <w:szCs w:val="26"/>
    </w:rPr>
  </w:style>
  <w:style w:type="character" w:styleId="813" w:customStyle="1">
    <w:name w:val="Nadpis 5 Char"/>
    <w:basedOn w:val="791"/>
    <w:link w:val="786"/>
    <w:uiPriority w:val="9"/>
    <w:rPr>
      <w:rFonts w:ascii="Arial" w:hAnsi="Arial" w:eastAsia="Arial" w:cs="Arial"/>
      <w:b/>
      <w:bCs/>
      <w:sz w:val="24"/>
      <w:szCs w:val="24"/>
    </w:rPr>
  </w:style>
  <w:style w:type="character" w:styleId="814" w:customStyle="1">
    <w:name w:val="Nadpis 6 Char"/>
    <w:basedOn w:val="791"/>
    <w:link w:val="787"/>
    <w:uiPriority w:val="9"/>
    <w:rPr>
      <w:rFonts w:ascii="Arial" w:hAnsi="Arial" w:eastAsia="Arial" w:cs="Arial"/>
      <w:b/>
      <w:bCs/>
      <w:sz w:val="22"/>
      <w:szCs w:val="22"/>
    </w:rPr>
  </w:style>
  <w:style w:type="character" w:styleId="815" w:customStyle="1">
    <w:name w:val="Nadpis 7 Char"/>
    <w:basedOn w:val="791"/>
    <w:link w:val="7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6" w:customStyle="1">
    <w:name w:val="Nadpis 8 Char"/>
    <w:basedOn w:val="791"/>
    <w:link w:val="789"/>
    <w:uiPriority w:val="9"/>
    <w:rPr>
      <w:rFonts w:ascii="Arial" w:hAnsi="Arial" w:eastAsia="Arial" w:cs="Arial"/>
      <w:i/>
      <w:iCs/>
      <w:sz w:val="22"/>
      <w:szCs w:val="22"/>
    </w:rPr>
  </w:style>
  <w:style w:type="character" w:styleId="817" w:customStyle="1">
    <w:name w:val="Nadpis 9 Char"/>
    <w:basedOn w:val="791"/>
    <w:link w:val="790"/>
    <w:uiPriority w:val="9"/>
    <w:rPr>
      <w:rFonts w:ascii="Arial" w:hAnsi="Arial" w:eastAsia="Arial" w:cs="Arial"/>
      <w:i/>
      <w:iCs/>
      <w:sz w:val="21"/>
      <w:szCs w:val="21"/>
    </w:rPr>
  </w:style>
  <w:style w:type="paragraph" w:styleId="818">
    <w:name w:val="No Spacing"/>
    <w:uiPriority w:val="1"/>
    <w:qFormat/>
    <w:pPr>
      <w:spacing w:after="0" w:line="240" w:lineRule="auto"/>
    </w:pPr>
  </w:style>
  <w:style w:type="paragraph" w:styleId="819">
    <w:name w:val="Title"/>
    <w:basedOn w:val="781"/>
    <w:next w:val="781"/>
    <w:link w:val="82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20" w:customStyle="1">
    <w:name w:val="Název Char"/>
    <w:basedOn w:val="791"/>
    <w:link w:val="819"/>
    <w:uiPriority w:val="10"/>
    <w:rPr>
      <w:sz w:val="48"/>
      <w:szCs w:val="48"/>
    </w:rPr>
  </w:style>
  <w:style w:type="paragraph" w:styleId="821">
    <w:name w:val="Subtitle"/>
    <w:basedOn w:val="781"/>
    <w:next w:val="781"/>
    <w:link w:val="822"/>
    <w:uiPriority w:val="11"/>
    <w:qFormat/>
    <w:pPr>
      <w:spacing w:before="200" w:after="200"/>
    </w:pPr>
    <w:rPr>
      <w:sz w:val="24"/>
      <w:szCs w:val="24"/>
    </w:rPr>
  </w:style>
  <w:style w:type="character" w:styleId="822" w:customStyle="1">
    <w:name w:val="Podnadpis Char"/>
    <w:basedOn w:val="791"/>
    <w:link w:val="821"/>
    <w:uiPriority w:val="11"/>
    <w:rPr>
      <w:sz w:val="24"/>
      <w:szCs w:val="24"/>
    </w:rPr>
  </w:style>
  <w:style w:type="paragraph" w:styleId="823">
    <w:name w:val="Quote"/>
    <w:basedOn w:val="781"/>
    <w:next w:val="781"/>
    <w:link w:val="824"/>
    <w:uiPriority w:val="29"/>
    <w:qFormat/>
    <w:pPr>
      <w:ind w:left="720" w:right="720"/>
    </w:pPr>
    <w:rPr>
      <w:i/>
    </w:rPr>
  </w:style>
  <w:style w:type="character" w:styleId="824" w:customStyle="1">
    <w:name w:val="Citát Char"/>
    <w:link w:val="823"/>
    <w:uiPriority w:val="29"/>
    <w:rPr>
      <w:i/>
    </w:rPr>
  </w:style>
  <w:style w:type="paragraph" w:styleId="825">
    <w:name w:val="Intense Quote"/>
    <w:basedOn w:val="781"/>
    <w:next w:val="781"/>
    <w:link w:val="82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26" w:customStyle="1">
    <w:name w:val="Výrazný citát Char"/>
    <w:link w:val="825"/>
    <w:uiPriority w:val="30"/>
    <w:rPr>
      <w:i/>
    </w:rPr>
  </w:style>
  <w:style w:type="character" w:styleId="827" w:customStyle="1">
    <w:name w:val="Header Char"/>
    <w:basedOn w:val="791"/>
    <w:uiPriority w:val="99"/>
  </w:style>
  <w:style w:type="character" w:styleId="828" w:customStyle="1">
    <w:name w:val="Footer Char"/>
    <w:basedOn w:val="791"/>
    <w:uiPriority w:val="99"/>
  </w:style>
  <w:style w:type="character" w:styleId="829" w:customStyle="1">
    <w:name w:val="Caption Char"/>
    <w:uiPriority w:val="99"/>
  </w:style>
  <w:style w:type="table" w:styleId="830">
    <w:name w:val="Table Grid"/>
    <w:basedOn w:val="79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31" w:customStyle="1">
    <w:name w:val="Table Grid Light"/>
    <w:basedOn w:val="79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32">
    <w:name w:val="Plain Table 1"/>
    <w:basedOn w:val="79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3">
    <w:name w:val="Plain Table 2"/>
    <w:basedOn w:val="79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4">
    <w:name w:val="Plain Table 3"/>
    <w:basedOn w:val="7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5">
    <w:name w:val="Plain Table 4"/>
    <w:basedOn w:val="7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Plain Table 5"/>
    <w:basedOn w:val="7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7">
    <w:name w:val="Grid Table 1 Light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Grid Table 1 Light - Accent 1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Grid Table 1 Light - Accent 2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Grid Table 1 Light - Accent 3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Grid Table 1 Light - Accent 4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Grid Table 1 Light - Accent 5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Grid Table 1 Light - Accent 6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Grid Table 2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2 - Accent 1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2 - Accent 2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2 - Accent 3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2 - Accent 4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2 - Accent 5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2 - Accent 6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3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3 - Accent 1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3 - Accent 2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3 - Accent 3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3 - Accent 4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3 - Accent 5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3 - Accent 6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4"/>
    <w:basedOn w:val="7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9" w:customStyle="1">
    <w:name w:val="Grid Table 4 - Accent 1"/>
    <w:basedOn w:val="7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60" w:customStyle="1">
    <w:name w:val="Grid Table 4 - Accent 2"/>
    <w:basedOn w:val="7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61" w:customStyle="1">
    <w:name w:val="Grid Table 4 - Accent 3"/>
    <w:basedOn w:val="7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62" w:customStyle="1">
    <w:name w:val="Grid Table 4 - Accent 4"/>
    <w:basedOn w:val="7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63" w:customStyle="1">
    <w:name w:val="Grid Table 4 - Accent 5"/>
    <w:basedOn w:val="7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64" w:customStyle="1">
    <w:name w:val="Grid Table 4 - Accent 6"/>
    <w:basedOn w:val="7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65">
    <w:name w:val="Grid Table 5 Dark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66" w:customStyle="1">
    <w:name w:val="Grid Table 5 Dark- Accent 1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67" w:customStyle="1">
    <w:name w:val="Grid Table 5 Dark - Accent 2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68" w:customStyle="1">
    <w:name w:val="Grid Table 5 Dark - Accent 3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69" w:customStyle="1">
    <w:name w:val="Grid Table 5 Dark- Accent 4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70" w:customStyle="1">
    <w:name w:val="Grid Table 5 Dark - Accent 5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71" w:customStyle="1">
    <w:name w:val="Grid Table 5 Dark - Accent 6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72">
    <w:name w:val="Grid Table 6 Colorful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73" w:customStyle="1">
    <w:name w:val="Grid Table 6 Colorful - Accent 1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74" w:customStyle="1">
    <w:name w:val="Grid Table 6 Colorful - Accent 2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75" w:customStyle="1">
    <w:name w:val="Grid Table 6 Colorful - Accent 3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76" w:customStyle="1">
    <w:name w:val="Grid Table 6 Colorful - Accent 4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77" w:customStyle="1">
    <w:name w:val="Grid Table 6 Colorful - Accent 5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78" w:customStyle="1">
    <w:name w:val="Grid Table 6 Colorful - Accent 6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79">
    <w:name w:val="Grid Table 7 Colorful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7 Colorful - Accent 1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7 Colorful - Accent 2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7 Colorful - Accent 3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7 Colorful - Accent 4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Grid Table 7 Colorful - Accent 5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Grid Table 7 Colorful - Accent 6"/>
    <w:basedOn w:val="7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List Table 1 Light"/>
    <w:basedOn w:val="7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1 Light - Accent 1"/>
    <w:basedOn w:val="7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1 Light - Accent 2"/>
    <w:basedOn w:val="7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1 Light - Accent 3"/>
    <w:basedOn w:val="7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1 Light - Accent 4"/>
    <w:basedOn w:val="7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1 Light - Accent 5"/>
    <w:basedOn w:val="7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1 Light - Accent 6"/>
    <w:basedOn w:val="7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List Table 2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94" w:customStyle="1">
    <w:name w:val="List Table 2 - Accent 1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95" w:customStyle="1">
    <w:name w:val="List Table 2 - Accent 2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96" w:customStyle="1">
    <w:name w:val="List Table 2 - Accent 3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97" w:customStyle="1">
    <w:name w:val="List Table 2 - Accent 4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98" w:customStyle="1">
    <w:name w:val="List Table 2 - Accent 5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99" w:customStyle="1">
    <w:name w:val="List Table 2 - Accent 6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00">
    <w:name w:val="List Table 3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3 - Accent 1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3 - Accent 2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3 - Accent 3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3 - Accent 4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List Table 3 - Accent 5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List Table 3 - Accent 6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4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 w:customStyle="1">
    <w:name w:val="List Table 4 - Accent 1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 w:customStyle="1">
    <w:name w:val="List Table 4 - Accent 2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List Table 4 - Accent 3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4 - Accent 4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4 - Accent 5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4 - Accent 6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5 Dark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5" w:customStyle="1">
    <w:name w:val="List Table 5 Dark - Accent 1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6" w:customStyle="1">
    <w:name w:val="List Table 5 Dark - Accent 2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7" w:customStyle="1">
    <w:name w:val="List Table 5 Dark - Accent 3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8" w:customStyle="1">
    <w:name w:val="List Table 5 Dark - Accent 4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9" w:customStyle="1">
    <w:name w:val="List Table 5 Dark - Accent 5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0" w:customStyle="1">
    <w:name w:val="List Table 5 Dark - Accent 6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1">
    <w:name w:val="List Table 6 Colorful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22" w:customStyle="1">
    <w:name w:val="List Table 6 Colorful - Accent 1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23" w:customStyle="1">
    <w:name w:val="List Table 6 Colorful - Accent 2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24" w:customStyle="1">
    <w:name w:val="List Table 6 Colorful - Accent 3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25" w:customStyle="1">
    <w:name w:val="List Table 6 Colorful - Accent 4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26" w:customStyle="1">
    <w:name w:val="List Table 6 Colorful - Accent 5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27" w:customStyle="1">
    <w:name w:val="List Table 6 Colorful - Accent 6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28">
    <w:name w:val="List Table 7 Colorful"/>
    <w:basedOn w:val="7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List Table 7 Colorful - Accent 1"/>
    <w:basedOn w:val="7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List Table 7 Colorful - Accent 2"/>
    <w:basedOn w:val="7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List Table 7 Colorful - Accent 3"/>
    <w:basedOn w:val="7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 w:customStyle="1">
    <w:name w:val="List Table 7 Colorful - Accent 4"/>
    <w:basedOn w:val="7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List Table 7 Colorful - Accent 5"/>
    <w:basedOn w:val="7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 w:customStyle="1">
    <w:name w:val="List Table 7 Colorful - Accent 6"/>
    <w:basedOn w:val="7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 w:customStyle="1">
    <w:name w:val="Lined - Accent"/>
    <w:basedOn w:val="7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6" w:customStyle="1">
    <w:name w:val="Lined - Accent 1"/>
    <w:basedOn w:val="7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7" w:customStyle="1">
    <w:name w:val="Lined - Accent 2"/>
    <w:basedOn w:val="7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38" w:customStyle="1">
    <w:name w:val="Lined - Accent 3"/>
    <w:basedOn w:val="7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39" w:customStyle="1">
    <w:name w:val="Lined - Accent 4"/>
    <w:basedOn w:val="7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40" w:customStyle="1">
    <w:name w:val="Lined - Accent 5"/>
    <w:basedOn w:val="7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41" w:customStyle="1">
    <w:name w:val="Lined - Accent 6"/>
    <w:basedOn w:val="7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42" w:customStyle="1">
    <w:name w:val="Bordered &amp; Lined - Accent"/>
    <w:basedOn w:val="7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3" w:customStyle="1">
    <w:name w:val="Bordered &amp; Lined - Accent 1"/>
    <w:basedOn w:val="7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44" w:customStyle="1">
    <w:name w:val="Bordered &amp; Lined - Accent 2"/>
    <w:basedOn w:val="7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45" w:customStyle="1">
    <w:name w:val="Bordered &amp; Lined - Accent 3"/>
    <w:basedOn w:val="7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46" w:customStyle="1">
    <w:name w:val="Bordered &amp; Lined - Accent 4"/>
    <w:basedOn w:val="7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47" w:customStyle="1">
    <w:name w:val="Bordered &amp; Lined - Accent 5"/>
    <w:basedOn w:val="7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48" w:customStyle="1">
    <w:name w:val="Bordered &amp; Lined - Accent 6"/>
    <w:basedOn w:val="7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49" w:customStyle="1">
    <w:name w:val="Bordered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50" w:customStyle="1">
    <w:name w:val="Bordered - Accent 1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51" w:customStyle="1">
    <w:name w:val="Bordered - Accent 2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52" w:customStyle="1">
    <w:name w:val="Bordered - Accent 3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53" w:customStyle="1">
    <w:name w:val="Bordered - Accent 4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54" w:customStyle="1">
    <w:name w:val="Bordered - Accent 5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55" w:customStyle="1">
    <w:name w:val="Bordered - Accent 6"/>
    <w:basedOn w:val="7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56">
    <w:name w:val="Hyperlink"/>
    <w:uiPriority w:val="99"/>
    <w:unhideWhenUsed/>
    <w:rPr>
      <w:color w:val="0000ff" w:themeColor="hyperlink"/>
      <w:u w:val="single"/>
    </w:rPr>
  </w:style>
  <w:style w:type="paragraph" w:styleId="957">
    <w:name w:val="footnote text"/>
    <w:basedOn w:val="781"/>
    <w:link w:val="958"/>
    <w:uiPriority w:val="99"/>
    <w:semiHidden/>
    <w:unhideWhenUsed/>
    <w:pPr>
      <w:spacing w:after="40" w:line="240" w:lineRule="auto"/>
    </w:pPr>
    <w:rPr>
      <w:sz w:val="18"/>
    </w:rPr>
  </w:style>
  <w:style w:type="character" w:styleId="958" w:customStyle="1">
    <w:name w:val="Text pozn. pod čarou Char"/>
    <w:link w:val="957"/>
    <w:uiPriority w:val="99"/>
    <w:rPr>
      <w:sz w:val="18"/>
    </w:rPr>
  </w:style>
  <w:style w:type="character" w:styleId="959">
    <w:name w:val="footnote reference"/>
    <w:basedOn w:val="791"/>
    <w:uiPriority w:val="99"/>
    <w:unhideWhenUsed/>
    <w:rPr>
      <w:vertAlign w:val="superscript"/>
    </w:rPr>
  </w:style>
  <w:style w:type="paragraph" w:styleId="960">
    <w:name w:val="endnote text"/>
    <w:basedOn w:val="781"/>
    <w:link w:val="961"/>
    <w:uiPriority w:val="99"/>
    <w:semiHidden/>
    <w:unhideWhenUsed/>
    <w:pPr>
      <w:spacing w:after="0" w:line="240" w:lineRule="auto"/>
    </w:pPr>
    <w:rPr>
      <w:sz w:val="20"/>
    </w:rPr>
  </w:style>
  <w:style w:type="character" w:styleId="961" w:customStyle="1">
    <w:name w:val="Text vysvětlivek Char"/>
    <w:link w:val="960"/>
    <w:uiPriority w:val="99"/>
    <w:rPr>
      <w:sz w:val="20"/>
    </w:rPr>
  </w:style>
  <w:style w:type="character" w:styleId="962">
    <w:name w:val="endnote reference"/>
    <w:basedOn w:val="791"/>
    <w:uiPriority w:val="99"/>
    <w:semiHidden/>
    <w:unhideWhenUsed/>
    <w:rPr>
      <w:vertAlign w:val="superscript"/>
    </w:rPr>
  </w:style>
  <w:style w:type="paragraph" w:styleId="963">
    <w:name w:val="toc 1"/>
    <w:basedOn w:val="781"/>
    <w:next w:val="781"/>
    <w:uiPriority w:val="39"/>
    <w:unhideWhenUsed/>
    <w:pPr>
      <w:spacing w:after="57"/>
    </w:pPr>
  </w:style>
  <w:style w:type="paragraph" w:styleId="964">
    <w:name w:val="toc 2"/>
    <w:basedOn w:val="781"/>
    <w:next w:val="781"/>
    <w:uiPriority w:val="39"/>
    <w:unhideWhenUsed/>
    <w:pPr>
      <w:ind w:left="283"/>
      <w:spacing w:after="57"/>
    </w:pPr>
  </w:style>
  <w:style w:type="paragraph" w:styleId="965">
    <w:name w:val="toc 3"/>
    <w:basedOn w:val="781"/>
    <w:next w:val="781"/>
    <w:uiPriority w:val="39"/>
    <w:unhideWhenUsed/>
    <w:pPr>
      <w:ind w:left="567"/>
      <w:spacing w:after="57"/>
    </w:pPr>
  </w:style>
  <w:style w:type="paragraph" w:styleId="966">
    <w:name w:val="toc 4"/>
    <w:basedOn w:val="781"/>
    <w:next w:val="781"/>
    <w:uiPriority w:val="39"/>
    <w:unhideWhenUsed/>
    <w:pPr>
      <w:ind w:left="850"/>
      <w:spacing w:after="57"/>
    </w:pPr>
  </w:style>
  <w:style w:type="paragraph" w:styleId="967">
    <w:name w:val="toc 5"/>
    <w:basedOn w:val="781"/>
    <w:next w:val="781"/>
    <w:uiPriority w:val="39"/>
    <w:unhideWhenUsed/>
    <w:pPr>
      <w:ind w:left="1134"/>
      <w:spacing w:after="57"/>
    </w:pPr>
  </w:style>
  <w:style w:type="paragraph" w:styleId="968">
    <w:name w:val="toc 6"/>
    <w:basedOn w:val="781"/>
    <w:next w:val="781"/>
    <w:uiPriority w:val="39"/>
    <w:unhideWhenUsed/>
    <w:pPr>
      <w:ind w:left="1417"/>
      <w:spacing w:after="57"/>
    </w:pPr>
  </w:style>
  <w:style w:type="paragraph" w:styleId="969">
    <w:name w:val="toc 7"/>
    <w:basedOn w:val="781"/>
    <w:next w:val="781"/>
    <w:uiPriority w:val="39"/>
    <w:unhideWhenUsed/>
    <w:pPr>
      <w:ind w:left="1701"/>
      <w:spacing w:after="57"/>
    </w:pPr>
  </w:style>
  <w:style w:type="paragraph" w:styleId="970">
    <w:name w:val="toc 8"/>
    <w:basedOn w:val="781"/>
    <w:next w:val="781"/>
    <w:uiPriority w:val="39"/>
    <w:unhideWhenUsed/>
    <w:pPr>
      <w:ind w:left="1984"/>
      <w:spacing w:after="57"/>
    </w:pPr>
  </w:style>
  <w:style w:type="paragraph" w:styleId="971">
    <w:name w:val="toc 9"/>
    <w:basedOn w:val="781"/>
    <w:next w:val="781"/>
    <w:uiPriority w:val="39"/>
    <w:unhideWhenUsed/>
    <w:pPr>
      <w:ind w:left="2268"/>
      <w:spacing w:after="57"/>
    </w:pPr>
  </w:style>
  <w:style w:type="paragraph" w:styleId="972">
    <w:name w:val="TOC Heading"/>
    <w:uiPriority w:val="39"/>
    <w:unhideWhenUsed/>
  </w:style>
  <w:style w:type="paragraph" w:styleId="973">
    <w:name w:val="table of figures"/>
    <w:basedOn w:val="781"/>
    <w:next w:val="781"/>
    <w:uiPriority w:val="99"/>
    <w:unhideWhenUsed/>
    <w:pPr>
      <w:spacing w:after="0"/>
    </w:pPr>
  </w:style>
  <w:style w:type="character" w:styleId="974" w:customStyle="1">
    <w:name w:val="WW8Num1z0"/>
    <w:rPr>
      <w:rFonts w:ascii="Symbol" w:hAnsi="Symbol" w:cs="Symbol"/>
    </w:rPr>
  </w:style>
  <w:style w:type="character" w:styleId="975" w:customStyle="1">
    <w:name w:val="WW8Num1z1"/>
    <w:rPr>
      <w:rFonts w:ascii="Courier New" w:hAnsi="Courier New" w:cs="Courier New"/>
    </w:rPr>
  </w:style>
  <w:style w:type="character" w:styleId="976" w:customStyle="1">
    <w:name w:val="WW8Num1z2"/>
    <w:rPr>
      <w:rFonts w:ascii="Wingdings" w:hAnsi="Wingdings" w:cs="Wingdings"/>
    </w:rPr>
  </w:style>
  <w:style w:type="character" w:styleId="977" w:customStyle="1">
    <w:name w:val="WW8Num2z0"/>
    <w:rPr>
      <w:rFonts w:ascii="Times New Roman" w:hAnsi="Times New Roman" w:cs="Times New Roman"/>
      <w:sz w:val="24"/>
      <w:szCs w:val="24"/>
    </w:rPr>
  </w:style>
  <w:style w:type="character" w:styleId="978" w:customStyle="1">
    <w:name w:val="WW8Num2ztrue"/>
  </w:style>
  <w:style w:type="character" w:styleId="979" w:customStyle="1">
    <w:name w:val="WW8Num2ztrue"/>
  </w:style>
  <w:style w:type="character" w:styleId="980" w:customStyle="1">
    <w:name w:val="WW8Num2ztrue"/>
  </w:style>
  <w:style w:type="character" w:styleId="981" w:customStyle="1">
    <w:name w:val="WW8Num2ztrue"/>
  </w:style>
  <w:style w:type="character" w:styleId="982" w:customStyle="1">
    <w:name w:val="WW8Num2ztrue"/>
  </w:style>
  <w:style w:type="character" w:styleId="983" w:customStyle="1">
    <w:name w:val="WW8Num2ztrue"/>
  </w:style>
  <w:style w:type="character" w:styleId="984" w:customStyle="1">
    <w:name w:val="WW8Num2ztrue"/>
  </w:style>
  <w:style w:type="character" w:styleId="985" w:customStyle="1">
    <w:name w:val="WW8Num2ztrue"/>
  </w:style>
  <w:style w:type="character" w:styleId="986" w:customStyle="1">
    <w:name w:val="WW8Num3z0"/>
    <w:rPr>
      <w:rFonts w:ascii="Symbol" w:hAnsi="Symbol" w:cs="Symbol"/>
      <w:sz w:val="24"/>
      <w:szCs w:val="24"/>
    </w:rPr>
  </w:style>
  <w:style w:type="character" w:styleId="987" w:customStyle="1">
    <w:name w:val="WW8Num3z1"/>
    <w:rPr>
      <w:rFonts w:ascii="Courier New" w:hAnsi="Courier New" w:cs="Courier New"/>
    </w:rPr>
  </w:style>
  <w:style w:type="character" w:styleId="988" w:customStyle="1">
    <w:name w:val="WW8Num3z2"/>
    <w:rPr>
      <w:rFonts w:ascii="Wingdings" w:hAnsi="Wingdings" w:cs="Wingdings"/>
    </w:rPr>
  </w:style>
  <w:style w:type="character" w:styleId="989" w:customStyle="1">
    <w:name w:val="WW8Num4zfalse"/>
    <w:rPr>
      <w:rFonts w:ascii="Times New Roman" w:hAnsi="Times New Roman" w:cs="Times New Roman"/>
      <w:sz w:val="24"/>
      <w:szCs w:val="24"/>
    </w:rPr>
  </w:style>
  <w:style w:type="character" w:styleId="990" w:customStyle="1">
    <w:name w:val="WW8Num4ztrue"/>
  </w:style>
  <w:style w:type="character" w:styleId="991" w:customStyle="1">
    <w:name w:val="WW8Num4ztrue"/>
  </w:style>
  <w:style w:type="character" w:styleId="992" w:customStyle="1">
    <w:name w:val="WW8Num4ztrue"/>
  </w:style>
  <w:style w:type="character" w:styleId="993" w:customStyle="1">
    <w:name w:val="WW8Num4ztrue"/>
  </w:style>
  <w:style w:type="character" w:styleId="994" w:customStyle="1">
    <w:name w:val="WW8Num4ztrue"/>
  </w:style>
  <w:style w:type="character" w:styleId="995" w:customStyle="1">
    <w:name w:val="WW8Num4ztrue"/>
  </w:style>
  <w:style w:type="character" w:styleId="996" w:customStyle="1">
    <w:name w:val="WW8Num4ztrue"/>
  </w:style>
  <w:style w:type="character" w:styleId="997" w:customStyle="1">
    <w:name w:val="WW8Num4ztrue"/>
  </w:style>
  <w:style w:type="character" w:styleId="998" w:customStyle="1">
    <w:name w:val="WW8Num5z0"/>
    <w:rPr>
      <w:rFonts w:ascii="Times New Roman" w:hAnsi="Times New Roman" w:cs="Times New Roman"/>
      <w:sz w:val="24"/>
      <w:szCs w:val="24"/>
    </w:rPr>
  </w:style>
  <w:style w:type="character" w:styleId="999" w:customStyle="1">
    <w:name w:val="WW8Num5ztrue"/>
  </w:style>
  <w:style w:type="character" w:styleId="1000" w:customStyle="1">
    <w:name w:val="WW8Num5ztrue"/>
  </w:style>
  <w:style w:type="character" w:styleId="1001" w:customStyle="1">
    <w:name w:val="WW8Num5ztrue"/>
  </w:style>
  <w:style w:type="character" w:styleId="1002" w:customStyle="1">
    <w:name w:val="WW8Num5ztrue"/>
  </w:style>
  <w:style w:type="character" w:styleId="1003" w:customStyle="1">
    <w:name w:val="WW8Num5ztrue"/>
  </w:style>
  <w:style w:type="character" w:styleId="1004" w:customStyle="1">
    <w:name w:val="WW8Num5ztrue"/>
  </w:style>
  <w:style w:type="character" w:styleId="1005" w:customStyle="1">
    <w:name w:val="WW8Num5ztrue"/>
  </w:style>
  <w:style w:type="character" w:styleId="1006" w:customStyle="1">
    <w:name w:val="WW8Num5ztrue"/>
  </w:style>
  <w:style w:type="character" w:styleId="1007" w:customStyle="1">
    <w:name w:val="WW8Num6z0"/>
    <w:rPr>
      <w:rFonts w:ascii="Times New Roman" w:hAnsi="Times New Roman" w:cs="Times New Roman"/>
      <w:sz w:val="24"/>
      <w:szCs w:val="24"/>
    </w:rPr>
  </w:style>
  <w:style w:type="character" w:styleId="1008" w:customStyle="1">
    <w:name w:val="WW8Num6ztrue"/>
  </w:style>
  <w:style w:type="character" w:styleId="1009" w:customStyle="1">
    <w:name w:val="WW8Num6ztrue"/>
  </w:style>
  <w:style w:type="character" w:styleId="1010" w:customStyle="1">
    <w:name w:val="WW8Num6ztrue"/>
  </w:style>
  <w:style w:type="character" w:styleId="1011" w:customStyle="1">
    <w:name w:val="WW8Num6ztrue"/>
  </w:style>
  <w:style w:type="character" w:styleId="1012" w:customStyle="1">
    <w:name w:val="WW8Num6ztrue"/>
  </w:style>
  <w:style w:type="character" w:styleId="1013" w:customStyle="1">
    <w:name w:val="WW8Num6ztrue"/>
  </w:style>
  <w:style w:type="character" w:styleId="1014" w:customStyle="1">
    <w:name w:val="WW8Num6ztrue"/>
  </w:style>
  <w:style w:type="character" w:styleId="1015" w:customStyle="1">
    <w:name w:val="WW8Num6ztrue"/>
  </w:style>
  <w:style w:type="character" w:styleId="1016" w:customStyle="1">
    <w:name w:val="WW8Num7zfalse"/>
  </w:style>
  <w:style w:type="character" w:styleId="1017" w:customStyle="1">
    <w:name w:val="WW8Num7ztrue"/>
  </w:style>
  <w:style w:type="character" w:styleId="1018" w:customStyle="1">
    <w:name w:val="WW8Num7ztrue"/>
  </w:style>
  <w:style w:type="character" w:styleId="1019" w:customStyle="1">
    <w:name w:val="WW8Num7ztrue"/>
  </w:style>
  <w:style w:type="character" w:styleId="1020" w:customStyle="1">
    <w:name w:val="WW8Num7ztrue"/>
  </w:style>
  <w:style w:type="character" w:styleId="1021" w:customStyle="1">
    <w:name w:val="WW8Num7ztrue"/>
  </w:style>
  <w:style w:type="character" w:styleId="1022" w:customStyle="1">
    <w:name w:val="WW8Num7ztrue"/>
  </w:style>
  <w:style w:type="character" w:styleId="1023" w:customStyle="1">
    <w:name w:val="WW8Num7ztrue"/>
  </w:style>
  <w:style w:type="character" w:styleId="1024" w:customStyle="1">
    <w:name w:val="WW8Num7ztrue"/>
  </w:style>
  <w:style w:type="character" w:styleId="1025" w:customStyle="1">
    <w:name w:val="WW8Num8zfalse"/>
  </w:style>
  <w:style w:type="character" w:styleId="1026" w:customStyle="1">
    <w:name w:val="WW8Num8ztrue"/>
  </w:style>
  <w:style w:type="character" w:styleId="1027" w:customStyle="1">
    <w:name w:val="WW8Num8ztrue"/>
  </w:style>
  <w:style w:type="character" w:styleId="1028" w:customStyle="1">
    <w:name w:val="WW8Num8ztrue"/>
  </w:style>
  <w:style w:type="character" w:styleId="1029" w:customStyle="1">
    <w:name w:val="WW8Num8ztrue"/>
  </w:style>
  <w:style w:type="character" w:styleId="1030" w:customStyle="1">
    <w:name w:val="WW8Num8ztrue"/>
  </w:style>
  <w:style w:type="character" w:styleId="1031" w:customStyle="1">
    <w:name w:val="WW8Num8ztrue"/>
  </w:style>
  <w:style w:type="character" w:styleId="1032" w:customStyle="1">
    <w:name w:val="WW8Num8ztrue"/>
  </w:style>
  <w:style w:type="character" w:styleId="1033" w:customStyle="1">
    <w:name w:val="WW8Num8ztrue"/>
  </w:style>
  <w:style w:type="character" w:styleId="1034" w:customStyle="1">
    <w:name w:val="WW8Num9zfalse"/>
  </w:style>
  <w:style w:type="character" w:styleId="1035" w:customStyle="1">
    <w:name w:val="WW8Num9ztrue"/>
  </w:style>
  <w:style w:type="character" w:styleId="1036" w:customStyle="1">
    <w:name w:val="WW8Num9ztrue"/>
  </w:style>
  <w:style w:type="character" w:styleId="1037" w:customStyle="1">
    <w:name w:val="WW8Num9ztrue"/>
  </w:style>
  <w:style w:type="character" w:styleId="1038" w:customStyle="1">
    <w:name w:val="WW8Num9ztrue"/>
  </w:style>
  <w:style w:type="character" w:styleId="1039" w:customStyle="1">
    <w:name w:val="WW8Num9ztrue"/>
  </w:style>
  <w:style w:type="character" w:styleId="1040" w:customStyle="1">
    <w:name w:val="WW8Num9ztrue"/>
  </w:style>
  <w:style w:type="character" w:styleId="1041" w:customStyle="1">
    <w:name w:val="WW8Num9ztrue"/>
  </w:style>
  <w:style w:type="character" w:styleId="1042" w:customStyle="1">
    <w:name w:val="WW8Num9ztrue"/>
  </w:style>
  <w:style w:type="character" w:styleId="1043" w:customStyle="1">
    <w:name w:val="WW8Num10z0"/>
    <w:rPr>
      <w:rFonts w:ascii="Symbol" w:hAnsi="Symbol" w:cs="Symbol"/>
      <w:sz w:val="24"/>
      <w:szCs w:val="24"/>
    </w:rPr>
  </w:style>
  <w:style w:type="character" w:styleId="1044" w:customStyle="1">
    <w:name w:val="WW8Num10z1"/>
    <w:rPr>
      <w:rFonts w:ascii="Courier New" w:hAnsi="Courier New" w:cs="Courier New"/>
    </w:rPr>
  </w:style>
  <w:style w:type="character" w:styleId="1045" w:customStyle="1">
    <w:name w:val="WW8Num10z2"/>
    <w:rPr>
      <w:rFonts w:ascii="Wingdings" w:hAnsi="Wingdings" w:cs="Wingdings"/>
    </w:rPr>
  </w:style>
  <w:style w:type="character" w:styleId="1046" w:customStyle="1">
    <w:name w:val="WW8Num11z0"/>
    <w:rPr>
      <w:rFonts w:ascii="Symbol" w:hAnsi="Symbol" w:cs="Symbol"/>
    </w:rPr>
  </w:style>
  <w:style w:type="character" w:styleId="1047" w:customStyle="1">
    <w:name w:val="WW8Num11z1"/>
    <w:rPr>
      <w:rFonts w:ascii="Courier New" w:hAnsi="Courier New" w:cs="Courier New"/>
    </w:rPr>
  </w:style>
  <w:style w:type="character" w:styleId="1048" w:customStyle="1">
    <w:name w:val="WW8Num11z2"/>
    <w:rPr>
      <w:rFonts w:ascii="Wingdings" w:hAnsi="Wingdings" w:cs="Wingdings"/>
    </w:rPr>
  </w:style>
  <w:style w:type="character" w:styleId="1049" w:customStyle="1">
    <w:name w:val="WW8Num12z0"/>
    <w:rPr>
      <w:rFonts w:ascii="Times New Roman" w:hAnsi="Times New Roman" w:cs="Times New Roman"/>
      <w:sz w:val="24"/>
      <w:szCs w:val="24"/>
    </w:rPr>
  </w:style>
  <w:style w:type="character" w:styleId="1050" w:customStyle="1">
    <w:name w:val="WW8Num12ztrue"/>
  </w:style>
  <w:style w:type="character" w:styleId="1051" w:customStyle="1">
    <w:name w:val="WW8Num12ztrue"/>
  </w:style>
  <w:style w:type="character" w:styleId="1052" w:customStyle="1">
    <w:name w:val="WW8Num12ztrue"/>
  </w:style>
  <w:style w:type="character" w:styleId="1053" w:customStyle="1">
    <w:name w:val="WW8Num12ztrue"/>
  </w:style>
  <w:style w:type="character" w:styleId="1054" w:customStyle="1">
    <w:name w:val="WW8Num12ztrue"/>
  </w:style>
  <w:style w:type="character" w:styleId="1055" w:customStyle="1">
    <w:name w:val="WW8Num12ztrue"/>
  </w:style>
  <w:style w:type="character" w:styleId="1056" w:customStyle="1">
    <w:name w:val="WW8Num12ztrue"/>
  </w:style>
  <w:style w:type="character" w:styleId="1057" w:customStyle="1">
    <w:name w:val="WW8Num12ztrue"/>
  </w:style>
  <w:style w:type="character" w:styleId="1058" w:customStyle="1">
    <w:name w:val="WW8Num13zfalse"/>
  </w:style>
  <w:style w:type="character" w:styleId="1059" w:customStyle="1">
    <w:name w:val="WW8Num13ztrue"/>
  </w:style>
  <w:style w:type="character" w:styleId="1060" w:customStyle="1">
    <w:name w:val="WW8Num13ztrue"/>
  </w:style>
  <w:style w:type="character" w:styleId="1061" w:customStyle="1">
    <w:name w:val="WW8Num13ztrue"/>
  </w:style>
  <w:style w:type="character" w:styleId="1062" w:customStyle="1">
    <w:name w:val="WW8Num13ztrue"/>
  </w:style>
  <w:style w:type="character" w:styleId="1063" w:customStyle="1">
    <w:name w:val="WW8Num13ztrue"/>
  </w:style>
  <w:style w:type="character" w:styleId="1064" w:customStyle="1">
    <w:name w:val="WW8Num13ztrue"/>
  </w:style>
  <w:style w:type="character" w:styleId="1065" w:customStyle="1">
    <w:name w:val="WW8Num13ztrue"/>
  </w:style>
  <w:style w:type="character" w:styleId="1066" w:customStyle="1">
    <w:name w:val="WW8Num13ztrue"/>
  </w:style>
  <w:style w:type="character" w:styleId="1067" w:customStyle="1">
    <w:name w:val="WW8Num2z1"/>
  </w:style>
  <w:style w:type="character" w:styleId="1068" w:customStyle="1">
    <w:name w:val="WW8Num2z2"/>
  </w:style>
  <w:style w:type="character" w:styleId="1069" w:customStyle="1">
    <w:name w:val="WW8Num2z3"/>
  </w:style>
  <w:style w:type="character" w:styleId="1070" w:customStyle="1">
    <w:name w:val="WW8Num2z4"/>
  </w:style>
  <w:style w:type="character" w:styleId="1071" w:customStyle="1">
    <w:name w:val="WW8Num2z5"/>
  </w:style>
  <w:style w:type="character" w:styleId="1072" w:customStyle="1">
    <w:name w:val="WW8Num2z6"/>
  </w:style>
  <w:style w:type="character" w:styleId="1073" w:customStyle="1">
    <w:name w:val="WW8Num2z7"/>
  </w:style>
  <w:style w:type="character" w:styleId="1074" w:customStyle="1">
    <w:name w:val="WW8Num2z8"/>
  </w:style>
  <w:style w:type="character" w:styleId="1075" w:customStyle="1">
    <w:name w:val="WW8Num4z0"/>
  </w:style>
  <w:style w:type="character" w:styleId="1076" w:customStyle="1">
    <w:name w:val="WW8Num4z1"/>
  </w:style>
  <w:style w:type="character" w:styleId="1077" w:customStyle="1">
    <w:name w:val="WW8Num4z2"/>
  </w:style>
  <w:style w:type="character" w:styleId="1078" w:customStyle="1">
    <w:name w:val="WW8Num4z3"/>
  </w:style>
  <w:style w:type="character" w:styleId="1079" w:customStyle="1">
    <w:name w:val="WW8Num4z4"/>
  </w:style>
  <w:style w:type="character" w:styleId="1080" w:customStyle="1">
    <w:name w:val="WW8Num4z5"/>
  </w:style>
  <w:style w:type="character" w:styleId="1081" w:customStyle="1">
    <w:name w:val="WW8Num4z6"/>
  </w:style>
  <w:style w:type="character" w:styleId="1082" w:customStyle="1">
    <w:name w:val="WW8Num4z7"/>
  </w:style>
  <w:style w:type="character" w:styleId="1083" w:customStyle="1">
    <w:name w:val="WW8Num4z8"/>
  </w:style>
  <w:style w:type="character" w:styleId="1084" w:customStyle="1">
    <w:name w:val="WW8Num5z1"/>
  </w:style>
  <w:style w:type="character" w:styleId="1085" w:customStyle="1">
    <w:name w:val="WW8Num5z2"/>
  </w:style>
  <w:style w:type="character" w:styleId="1086" w:customStyle="1">
    <w:name w:val="WW8Num5z3"/>
  </w:style>
  <w:style w:type="character" w:styleId="1087" w:customStyle="1">
    <w:name w:val="WW8Num5z4"/>
  </w:style>
  <w:style w:type="character" w:styleId="1088" w:customStyle="1">
    <w:name w:val="WW8Num5z5"/>
  </w:style>
  <w:style w:type="character" w:styleId="1089" w:customStyle="1">
    <w:name w:val="WW8Num5z6"/>
  </w:style>
  <w:style w:type="character" w:styleId="1090" w:customStyle="1">
    <w:name w:val="WW8Num5z7"/>
  </w:style>
  <w:style w:type="character" w:styleId="1091" w:customStyle="1">
    <w:name w:val="WW8Num5z8"/>
  </w:style>
  <w:style w:type="character" w:styleId="1092" w:customStyle="1">
    <w:name w:val="WW8Num6z1"/>
  </w:style>
  <w:style w:type="character" w:styleId="1093" w:customStyle="1">
    <w:name w:val="WW8Num6z2"/>
  </w:style>
  <w:style w:type="character" w:styleId="1094" w:customStyle="1">
    <w:name w:val="WW8Num6z3"/>
  </w:style>
  <w:style w:type="character" w:styleId="1095" w:customStyle="1">
    <w:name w:val="WW8Num6z4"/>
  </w:style>
  <w:style w:type="character" w:styleId="1096" w:customStyle="1">
    <w:name w:val="WW8Num6z5"/>
  </w:style>
  <w:style w:type="character" w:styleId="1097" w:customStyle="1">
    <w:name w:val="WW8Num6z6"/>
  </w:style>
  <w:style w:type="character" w:styleId="1098" w:customStyle="1">
    <w:name w:val="WW8Num6z7"/>
  </w:style>
  <w:style w:type="character" w:styleId="1099" w:customStyle="1">
    <w:name w:val="WW8Num6z8"/>
  </w:style>
  <w:style w:type="character" w:styleId="1100" w:customStyle="1">
    <w:name w:val="WW8Num7z0"/>
  </w:style>
  <w:style w:type="character" w:styleId="1101" w:customStyle="1">
    <w:name w:val="WW8Num7z1"/>
  </w:style>
  <w:style w:type="character" w:styleId="1102" w:customStyle="1">
    <w:name w:val="WW8Num7z2"/>
  </w:style>
  <w:style w:type="character" w:styleId="1103" w:customStyle="1">
    <w:name w:val="WW8Num7z3"/>
  </w:style>
  <w:style w:type="character" w:styleId="1104" w:customStyle="1">
    <w:name w:val="WW8Num7z4"/>
  </w:style>
  <w:style w:type="character" w:styleId="1105" w:customStyle="1">
    <w:name w:val="WW8Num7z5"/>
  </w:style>
  <w:style w:type="character" w:styleId="1106" w:customStyle="1">
    <w:name w:val="WW8Num7z6"/>
  </w:style>
  <w:style w:type="character" w:styleId="1107" w:customStyle="1">
    <w:name w:val="WW8Num7z7"/>
  </w:style>
  <w:style w:type="character" w:styleId="1108" w:customStyle="1">
    <w:name w:val="WW8Num7z8"/>
  </w:style>
  <w:style w:type="character" w:styleId="1109" w:customStyle="1">
    <w:name w:val="WW8Num8z0"/>
  </w:style>
  <w:style w:type="character" w:styleId="1110" w:customStyle="1">
    <w:name w:val="WW8Num8z1"/>
  </w:style>
  <w:style w:type="character" w:styleId="1111" w:customStyle="1">
    <w:name w:val="WW8Num8z2"/>
  </w:style>
  <w:style w:type="character" w:styleId="1112" w:customStyle="1">
    <w:name w:val="WW8Num8z3"/>
  </w:style>
  <w:style w:type="character" w:styleId="1113" w:customStyle="1">
    <w:name w:val="WW8Num8z4"/>
  </w:style>
  <w:style w:type="character" w:styleId="1114" w:customStyle="1">
    <w:name w:val="WW8Num8z5"/>
  </w:style>
  <w:style w:type="character" w:styleId="1115" w:customStyle="1">
    <w:name w:val="WW8Num8z6"/>
  </w:style>
  <w:style w:type="character" w:styleId="1116" w:customStyle="1">
    <w:name w:val="WW8Num8z7"/>
  </w:style>
  <w:style w:type="character" w:styleId="1117" w:customStyle="1">
    <w:name w:val="WW8Num8z8"/>
  </w:style>
  <w:style w:type="character" w:styleId="1118" w:customStyle="1">
    <w:name w:val="WW8Num9z0"/>
  </w:style>
  <w:style w:type="character" w:styleId="1119" w:customStyle="1">
    <w:name w:val="WW8Num9z1"/>
  </w:style>
  <w:style w:type="character" w:styleId="1120" w:customStyle="1">
    <w:name w:val="WW8Num9z2"/>
  </w:style>
  <w:style w:type="character" w:styleId="1121" w:customStyle="1">
    <w:name w:val="WW8Num9z3"/>
  </w:style>
  <w:style w:type="character" w:styleId="1122" w:customStyle="1">
    <w:name w:val="WW8Num9z4"/>
  </w:style>
  <w:style w:type="character" w:styleId="1123" w:customStyle="1">
    <w:name w:val="WW8Num9z5"/>
  </w:style>
  <w:style w:type="character" w:styleId="1124" w:customStyle="1">
    <w:name w:val="WW8Num9z6"/>
  </w:style>
  <w:style w:type="character" w:styleId="1125" w:customStyle="1">
    <w:name w:val="WW8Num9z7"/>
  </w:style>
  <w:style w:type="character" w:styleId="1126" w:customStyle="1">
    <w:name w:val="WW8Num9z8"/>
  </w:style>
  <w:style w:type="character" w:styleId="1127" w:customStyle="1">
    <w:name w:val="WW8Num12z1"/>
  </w:style>
  <w:style w:type="character" w:styleId="1128" w:customStyle="1">
    <w:name w:val="WW8Num12z2"/>
  </w:style>
  <w:style w:type="character" w:styleId="1129" w:customStyle="1">
    <w:name w:val="WW8Num12z3"/>
  </w:style>
  <w:style w:type="character" w:styleId="1130" w:customStyle="1">
    <w:name w:val="WW8Num12z4"/>
  </w:style>
  <w:style w:type="character" w:styleId="1131" w:customStyle="1">
    <w:name w:val="WW8Num12z5"/>
  </w:style>
  <w:style w:type="character" w:styleId="1132" w:customStyle="1">
    <w:name w:val="WW8Num12z6"/>
  </w:style>
  <w:style w:type="character" w:styleId="1133" w:customStyle="1">
    <w:name w:val="WW8Num12z7"/>
  </w:style>
  <w:style w:type="character" w:styleId="1134" w:customStyle="1">
    <w:name w:val="WW8Num12z8"/>
  </w:style>
  <w:style w:type="character" w:styleId="1135" w:customStyle="1">
    <w:name w:val="WW8Num13z0"/>
  </w:style>
  <w:style w:type="character" w:styleId="1136" w:customStyle="1">
    <w:name w:val="WW8Num13z1"/>
  </w:style>
  <w:style w:type="character" w:styleId="1137" w:customStyle="1">
    <w:name w:val="WW8Num13z2"/>
  </w:style>
  <w:style w:type="character" w:styleId="1138" w:customStyle="1">
    <w:name w:val="WW8Num13z3"/>
  </w:style>
  <w:style w:type="character" w:styleId="1139" w:customStyle="1">
    <w:name w:val="WW8Num13z4"/>
  </w:style>
  <w:style w:type="character" w:styleId="1140" w:customStyle="1">
    <w:name w:val="WW8Num13z5"/>
  </w:style>
  <w:style w:type="character" w:styleId="1141" w:customStyle="1">
    <w:name w:val="WW8Num13z6"/>
  </w:style>
  <w:style w:type="character" w:styleId="1142" w:customStyle="1">
    <w:name w:val="WW8Num13z7"/>
  </w:style>
  <w:style w:type="character" w:styleId="1143" w:customStyle="1">
    <w:name w:val="WW8Num13z8"/>
  </w:style>
  <w:style w:type="character" w:styleId="1144" w:customStyle="1">
    <w:name w:val="Záhlaví Char"/>
    <w:basedOn w:val="791"/>
  </w:style>
  <w:style w:type="character" w:styleId="1145" w:customStyle="1">
    <w:name w:val="Zápatí Char"/>
    <w:basedOn w:val="791"/>
  </w:style>
  <w:style w:type="character" w:styleId="1146" w:customStyle="1">
    <w:name w:val="ListLabel 1"/>
    <w:rPr>
      <w:rFonts w:cs="Courier New"/>
    </w:rPr>
  </w:style>
  <w:style w:type="character" w:styleId="1147" w:customStyle="1">
    <w:name w:val="ListLabel 2"/>
    <w:rPr>
      <w:rFonts w:cs="Symbol"/>
    </w:rPr>
  </w:style>
  <w:style w:type="character" w:styleId="1148" w:customStyle="1">
    <w:name w:val="ListLabel 3"/>
    <w:rPr>
      <w:rFonts w:cs="Courier New"/>
    </w:rPr>
  </w:style>
  <w:style w:type="character" w:styleId="1149" w:customStyle="1">
    <w:name w:val="ListLabel 4"/>
    <w:rPr>
      <w:rFonts w:cs="Wingdings"/>
    </w:rPr>
  </w:style>
  <w:style w:type="character" w:styleId="1150" w:customStyle="1">
    <w:name w:val="ListLabel 5"/>
    <w:rPr>
      <w:rFonts w:cs="Symbol"/>
    </w:rPr>
  </w:style>
  <w:style w:type="character" w:styleId="1151" w:customStyle="1">
    <w:name w:val="ListLabel 6"/>
    <w:rPr>
      <w:rFonts w:cs="Courier New"/>
    </w:rPr>
  </w:style>
  <w:style w:type="character" w:styleId="1152" w:customStyle="1">
    <w:name w:val="ListLabel 7"/>
    <w:rPr>
      <w:rFonts w:cs="Wingdings"/>
    </w:rPr>
  </w:style>
  <w:style w:type="character" w:styleId="1153" w:customStyle="1">
    <w:name w:val="ListLabel 8"/>
    <w:rPr>
      <w:rFonts w:cs="Symbol"/>
    </w:rPr>
  </w:style>
  <w:style w:type="character" w:styleId="1154" w:customStyle="1">
    <w:name w:val="ListLabel 9"/>
    <w:rPr>
      <w:rFonts w:cs="Courier New"/>
    </w:rPr>
  </w:style>
  <w:style w:type="character" w:styleId="1155" w:customStyle="1">
    <w:name w:val="ListLabel 10"/>
    <w:rPr>
      <w:rFonts w:cs="Wingdings"/>
    </w:rPr>
  </w:style>
  <w:style w:type="paragraph" w:styleId="1156" w:customStyle="1">
    <w:name w:val="Heading"/>
    <w:basedOn w:val="781"/>
    <w:next w:val="1157"/>
    <w:pPr>
      <w:keepNext/>
      <w:spacing w:before="240" w:after="120"/>
    </w:pPr>
    <w:rPr>
      <w:rFonts w:ascii="Arial" w:hAnsi="Arial" w:eastAsia="Arial" w:cs="Lohit Hindi"/>
      <w:sz w:val="28"/>
      <w:szCs w:val="28"/>
    </w:rPr>
  </w:style>
  <w:style w:type="paragraph" w:styleId="1157" w:customStyle="1">
    <w:name w:val="Text Body"/>
    <w:basedOn w:val="781"/>
    <w:pPr>
      <w:spacing w:after="120"/>
    </w:pPr>
  </w:style>
  <w:style w:type="paragraph" w:styleId="1158">
    <w:name w:val="List"/>
    <w:basedOn w:val="1157"/>
    <w:rPr>
      <w:rFonts w:cs="Mangal"/>
    </w:rPr>
  </w:style>
  <w:style w:type="paragraph" w:styleId="1159" w:customStyle="1">
    <w:name w:val="Titulek1"/>
    <w:basedOn w:val="781"/>
    <w:pPr>
      <w:spacing w:before="120" w:after="120"/>
      <w:suppressLineNumbers/>
    </w:pPr>
    <w:rPr>
      <w:rFonts w:cs="Lohit Hindi"/>
      <w:i/>
      <w:iCs/>
      <w:sz w:val="24"/>
      <w:szCs w:val="24"/>
    </w:rPr>
  </w:style>
  <w:style w:type="paragraph" w:styleId="1160" w:customStyle="1">
    <w:name w:val="Index"/>
    <w:basedOn w:val="781"/>
    <w:pPr>
      <w:suppressLineNumbers/>
    </w:pPr>
    <w:rPr>
      <w:rFonts w:cs="Lohit Hindi"/>
    </w:rPr>
  </w:style>
  <w:style w:type="paragraph" w:styleId="1161" w:customStyle="1">
    <w:name w:val="Nadpis"/>
    <w:basedOn w:val="781"/>
    <w:next w:val="1157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1162">
    <w:name w:val="Caption"/>
    <w:basedOn w:val="781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1163" w:customStyle="1">
    <w:name w:val="Rejstřík"/>
    <w:basedOn w:val="781"/>
    <w:pPr>
      <w:suppressLineNumbers/>
    </w:pPr>
    <w:rPr>
      <w:rFonts w:cs="Mangal"/>
    </w:rPr>
  </w:style>
  <w:style w:type="paragraph" w:styleId="1164">
    <w:name w:val="List Paragraph"/>
    <w:basedOn w:val="781"/>
    <w:uiPriority w:val="34"/>
    <w:qFormat/>
    <w:pPr>
      <w:contextualSpacing/>
      <w:ind w:left="720"/>
    </w:pPr>
  </w:style>
  <w:style w:type="paragraph" w:styleId="1165" w:customStyle="1">
    <w:name w:val="Záhlaví1"/>
    <w:basedOn w:val="781"/>
    <w:pPr>
      <w:spacing w:after="0" w:line="100" w:lineRule="atLeast"/>
      <w:tabs>
        <w:tab w:val="center" w:pos="4536" w:leader="none"/>
        <w:tab w:val="right" w:pos="9072" w:leader="none"/>
      </w:tabs>
    </w:pPr>
  </w:style>
  <w:style w:type="paragraph" w:styleId="1166" w:customStyle="1">
    <w:name w:val="Zápatí1"/>
    <w:basedOn w:val="781"/>
    <w:pPr>
      <w:spacing w:after="0" w:line="100" w:lineRule="atLeast"/>
      <w:tabs>
        <w:tab w:val="center" w:pos="4536" w:leader="none"/>
        <w:tab w:val="right" w:pos="9072" w:leader="none"/>
      </w:tabs>
    </w:pPr>
  </w:style>
  <w:style w:type="paragraph" w:styleId="1167" w:customStyle="1">
    <w:name w:val="Default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1168">
    <w:name w:val="Balloon Text"/>
    <w:basedOn w:val="781"/>
    <w:link w:val="116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169" w:customStyle="1">
    <w:name w:val="Text bubliny Char"/>
    <w:basedOn w:val="791"/>
    <w:link w:val="1168"/>
    <w:uiPriority w:val="99"/>
    <w:semiHidden/>
    <w:rPr>
      <w:rFonts w:ascii="Segoe UI" w:hAnsi="Segoe UI" w:eastAsia="SimSun;Arial Unicode MS" w:cs="Segoe UI"/>
      <w:color w:val="00000a"/>
      <w:sz w:val="18"/>
      <w:szCs w:val="18"/>
      <w:lang w:eastAsia="zh-CN"/>
    </w:rPr>
  </w:style>
  <w:style w:type="character" w:styleId="1170">
    <w:name w:val="annotation reference"/>
    <w:basedOn w:val="791"/>
    <w:uiPriority w:val="99"/>
    <w:semiHidden/>
    <w:unhideWhenUsed/>
    <w:rPr>
      <w:sz w:val="16"/>
      <w:szCs w:val="16"/>
    </w:rPr>
  </w:style>
  <w:style w:type="paragraph" w:styleId="1171">
    <w:name w:val="annotation text"/>
    <w:basedOn w:val="781"/>
    <w:link w:val="1172"/>
    <w:uiPriority w:val="99"/>
    <w:unhideWhenUsed/>
    <w:pPr>
      <w:spacing w:line="240" w:lineRule="auto"/>
    </w:pPr>
    <w:rPr>
      <w:sz w:val="20"/>
      <w:szCs w:val="20"/>
    </w:rPr>
  </w:style>
  <w:style w:type="character" w:styleId="1172" w:customStyle="1">
    <w:name w:val="Text komentáře Char"/>
    <w:basedOn w:val="791"/>
    <w:link w:val="1171"/>
    <w:uiPriority w:val="99"/>
    <w:rPr>
      <w:rFonts w:ascii="Calibri" w:hAnsi="Calibri" w:eastAsia="SimSun;Arial Unicode MS" w:cs="Calibri"/>
      <w:color w:val="00000a"/>
      <w:sz w:val="20"/>
      <w:szCs w:val="20"/>
      <w:lang w:eastAsia="zh-CN"/>
    </w:rPr>
  </w:style>
  <w:style w:type="paragraph" w:styleId="1173">
    <w:name w:val="annotation subject"/>
    <w:basedOn w:val="1171"/>
    <w:next w:val="1171"/>
    <w:link w:val="1174"/>
    <w:uiPriority w:val="99"/>
    <w:semiHidden/>
    <w:unhideWhenUsed/>
    <w:rPr>
      <w:b/>
      <w:bCs/>
    </w:rPr>
  </w:style>
  <w:style w:type="character" w:styleId="1174" w:customStyle="1">
    <w:name w:val="Předmět komentáře Char"/>
    <w:basedOn w:val="1172"/>
    <w:link w:val="1173"/>
    <w:uiPriority w:val="99"/>
    <w:semiHidden/>
    <w:rPr>
      <w:rFonts w:ascii="Calibri" w:hAnsi="Calibri" w:eastAsia="SimSun;Arial Unicode MS" w:cs="Calibri"/>
      <w:b/>
      <w:bCs/>
      <w:color w:val="00000a"/>
      <w:sz w:val="20"/>
      <w:szCs w:val="20"/>
      <w:lang w:eastAsia="zh-CN"/>
    </w:rPr>
  </w:style>
  <w:style w:type="paragraph" w:styleId="1175">
    <w:name w:val="Header"/>
    <w:basedOn w:val="781"/>
    <w:link w:val="1176"/>
    <w:uiPriority w:val="99"/>
    <w:unhideWhenUsed/>
    <w:pPr>
      <w:spacing w:after="0" w:line="240" w:lineRule="auto"/>
      <w:tabs>
        <w:tab w:val="center" w:pos="4513" w:leader="none"/>
        <w:tab w:val="right" w:pos="9026" w:leader="none"/>
      </w:tabs>
    </w:pPr>
  </w:style>
  <w:style w:type="character" w:styleId="1176" w:customStyle="1">
    <w:name w:val="Záhlaví Char1"/>
    <w:basedOn w:val="791"/>
    <w:link w:val="1175"/>
    <w:uiPriority w:val="99"/>
    <w:rPr>
      <w:rFonts w:ascii="Calibri" w:hAnsi="Calibri" w:eastAsia="SimSun;Arial Unicode MS" w:cs="Calibri"/>
      <w:color w:val="00000a"/>
      <w:lang w:eastAsia="zh-CN"/>
    </w:rPr>
  </w:style>
  <w:style w:type="paragraph" w:styleId="1177">
    <w:name w:val="Footer"/>
    <w:basedOn w:val="781"/>
    <w:link w:val="1178"/>
    <w:uiPriority w:val="99"/>
    <w:unhideWhenUsed/>
    <w:pPr>
      <w:spacing w:after="0" w:line="240" w:lineRule="auto"/>
      <w:tabs>
        <w:tab w:val="center" w:pos="4513" w:leader="none"/>
        <w:tab w:val="right" w:pos="9026" w:leader="none"/>
      </w:tabs>
    </w:pPr>
  </w:style>
  <w:style w:type="character" w:styleId="1178" w:customStyle="1">
    <w:name w:val="Zápatí Char1"/>
    <w:basedOn w:val="791"/>
    <w:link w:val="1177"/>
    <w:rPr>
      <w:rFonts w:ascii="Calibri" w:hAnsi="Calibri" w:eastAsia="SimSun;Arial Unicode MS" w:cs="Calibri"/>
      <w:color w:val="00000a"/>
      <w:lang w:eastAsia="zh-CN"/>
    </w:rPr>
  </w:style>
  <w:style w:type="character" w:styleId="1179" w:customStyle="1">
    <w:name w:val="preformatted"/>
    <w:basedOn w:val="791"/>
    <w:qFormat/>
  </w:style>
  <w:style w:type="paragraph" w:styleId="1180">
    <w:name w:val="List Number 2"/>
    <w:basedOn w:val="781"/>
    <w:uiPriority w:val="99"/>
    <w:unhideWhenUsed/>
    <w:pPr>
      <w:numPr>
        <w:ilvl w:val="0"/>
        <w:numId w:val="17"/>
      </w:numPr>
      <w:contextualSpacing/>
    </w:pPr>
  </w:style>
  <w:style w:type="paragraph" w:styleId="1181">
    <w:name w:val="Revision"/>
    <w:hidden/>
    <w:uiPriority w:val="99"/>
    <w:semiHidden/>
    <w:pPr>
      <w:spacing w:after="0" w:line="240" w:lineRule="auto"/>
    </w:pPr>
    <w:rPr>
      <w:rFonts w:ascii="Calibri" w:hAnsi="Calibri" w:eastAsia="SimSun;Arial Unicode MS" w:cs="Calibri"/>
      <w:color w:val="00000a"/>
      <w:lang w:eastAsia="zh-CN"/>
    </w:rPr>
  </w:style>
  <w:style w:type="paragraph" w:styleId="1182">
    <w:name w:val="Normal (Web)"/>
    <w:basedOn w:val="78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color w:val="auto"/>
      <w:sz w:val="24"/>
      <w:szCs w:val="24"/>
      <w:lang w:eastAsia="cs-CZ"/>
    </w:rPr>
  </w:style>
  <w:style w:type="character" w:styleId="1183" w:customStyle="1">
    <w:name w:val="with-background"/>
    <w:basedOn w:val="791"/>
  </w:style>
  <w:style w:type="paragraph" w:styleId="1184" w:customStyle="1">
    <w:name w:val="p1"/>
    <w:basedOn w:val="781"/>
    <w:pPr>
      <w:spacing w:after="0" w:line="240" w:lineRule="auto"/>
    </w:pPr>
    <w:rPr>
      <w:rFonts w:ascii="Helvetica" w:hAnsi="Helvetica" w:eastAsia="Times New Roman" w:cs="Times New Roman"/>
      <w:color w:val="000000"/>
      <w:sz w:val="15"/>
      <w:szCs w:val="15"/>
      <w:lang w:eastAsia="cs-CZ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omments" Target="comments.xml" /><Relationship Id="rId12" Type="http://schemas.microsoft.com/office/2011/relationships/commentsExtended" Target="commentsExtended.xml" /><Relationship Id="rId13" Type="http://schemas.microsoft.com/office/2018/08/relationships/commentsExtensible" Target="commentsExtensible.xml" /><Relationship Id="rId14" Type="http://schemas.microsoft.com/office/2016/09/relationships/commentsIds" Target="commentsIds.xml" /><Relationship Id="rId15" Type="http://schemas.microsoft.com/office/2011/relationships/people" Target="people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ONLYOFFICE/7.4.0.163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ceva</dc:creator>
  <cp:revision>11</cp:revision>
  <dcterms:created xsi:type="dcterms:W3CDTF">2025-06-19T12:47:00Z</dcterms:created>
  <dcterms:modified xsi:type="dcterms:W3CDTF">2026-08-12T17:45:28Z</dcterms:modified>
</cp:coreProperties>
</file>