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color w:val="8a794c"/>
          <w:sz w:val="32"/>
          <w:szCs w:val="32"/>
        </w:rPr>
      </w:pPr>
      <w:r>
        <w:rPr>
          <w:rFonts w:ascii="Times New Roman" w:hAnsi="Times New Roman" w:cs="Times New Roman"/>
          <w:b/>
          <w:color w:val="8a794c"/>
          <w:sz w:val="32"/>
          <w:szCs w:val="32"/>
        </w:rPr>
        <w:t xml:space="preserve">KUPNÍ SMLOUVA</w:t>
      </w:r>
      <w:r>
        <w:rPr>
          <w:rFonts w:ascii="Times New Roman" w:hAnsi="Times New Roman" w:cs="Times New Roman"/>
          <w:b/>
          <w:color w:val="8a794c"/>
          <w:sz w:val="32"/>
          <w:szCs w:val="32"/>
        </w:rPr>
      </w:r>
    </w:p>
    <w:p>
      <w:pPr>
        <w:ind w:left="714" w:hanging="357"/>
        <w:jc w:val="center"/>
        <w:spacing w:after="0" w:line="240" w:lineRule="auto"/>
        <w:rPr>
          <w:rFonts w:ascii="Times New Roman" w:hAnsi="Times New Roman" w:cs="Times New Roman"/>
          <w:color w:val="8a794c"/>
          <w:sz w:val="24"/>
          <w:szCs w:val="24"/>
        </w:rPr>
      </w:pPr>
      <w:r>
        <w:rPr>
          <w:rFonts w:ascii="Times New Roman" w:hAnsi="Times New Roman" w:cs="Times New Roman"/>
          <w:color w:val="8a794c"/>
          <w:sz w:val="24"/>
          <w:szCs w:val="24"/>
        </w:rPr>
      </w:r>
      <w:r>
        <w:rPr>
          <w:rFonts w:ascii="Times New Roman" w:hAnsi="Times New Roman" w:cs="Times New Roman"/>
          <w:color w:val="8a794c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color w:val="8a794c"/>
          <w:sz w:val="24"/>
          <w:szCs w:val="24"/>
        </w:rPr>
      </w:pPr>
      <w:r>
        <w:rPr>
          <w:rFonts w:ascii="Times New Roman" w:hAnsi="Times New Roman" w:cs="Times New Roman"/>
          <w:color w:val="8a794c"/>
          <w:sz w:val="24"/>
          <w:szCs w:val="24"/>
        </w:rPr>
      </w:r>
      <w:r>
        <w:rPr>
          <w:rFonts w:ascii="Times New Roman" w:hAnsi="Times New Roman" w:cs="Times New Roman"/>
          <w:color w:val="8a794c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color w:val="8a794c"/>
          <w:sz w:val="24"/>
          <w:szCs w:val="24"/>
          <w:lang w:eastAsia="en-US"/>
        </w:rPr>
      </w:pPr>
      <w:r>
        <w:rPr>
          <w:rFonts w:ascii="Times New Roman" w:hAnsi="Times New Roman" w:eastAsia="Arial" w:cs="Times New Roman"/>
          <w:color w:val="8a794c"/>
          <w:sz w:val="24"/>
          <w:szCs w:val="24"/>
          <w:lang w:eastAsia="en-US"/>
        </w:rPr>
        <w:t xml:space="preserve">Tato kupní smlouva (dále též jako „</w:t>
      </w:r>
      <w:r>
        <w:rPr>
          <w:rFonts w:ascii="Times New Roman" w:hAnsi="Times New Roman" w:eastAsia="Arial" w:cs="Times New Roman"/>
          <w:b/>
          <w:color w:val="8a794c"/>
          <w:sz w:val="24"/>
          <w:szCs w:val="24"/>
          <w:lang w:eastAsia="en-US"/>
        </w:rPr>
        <w:t xml:space="preserve">Smlouva</w:t>
      </w:r>
      <w:r>
        <w:rPr>
          <w:rFonts w:ascii="Times New Roman" w:hAnsi="Times New Roman" w:eastAsia="Arial" w:cs="Times New Roman"/>
          <w:color w:val="8a794c"/>
          <w:sz w:val="24"/>
          <w:szCs w:val="24"/>
          <w:lang w:eastAsia="en-US"/>
        </w:rPr>
        <w:t xml:space="preserve">“) byla uzavřena níže uvedeného dne, měsíce           a roku podle zákona č. 89/2012 Sb., občanského zákoníku, v platném znění, mezi těmito stranami:</w:t>
      </w:r>
      <w:r>
        <w:rPr>
          <w:rFonts w:ascii="Times New Roman" w:hAnsi="Times New Roman" w:eastAsia="Arial" w:cs="Times New Roman"/>
          <w:color w:val="8a794c"/>
          <w:sz w:val="24"/>
          <w:szCs w:val="24"/>
          <w:lang w:eastAsia="en-US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color w:val="8a794c"/>
          <w:sz w:val="24"/>
          <w:szCs w:val="24"/>
          <w:lang w:eastAsia="en-US"/>
        </w:rPr>
      </w:pPr>
      <w:r>
        <w:rPr>
          <w:rFonts w:ascii="Times New Roman" w:hAnsi="Times New Roman" w:eastAsia="Arial" w:cs="Times New Roman"/>
          <w:color w:val="8a794c"/>
          <w:sz w:val="24"/>
          <w:szCs w:val="24"/>
          <w:lang w:eastAsia="en-US"/>
        </w:rPr>
      </w:r>
      <w:r>
        <w:rPr>
          <w:rFonts w:ascii="Times New Roman" w:hAnsi="Times New Roman" w:eastAsia="Arial" w:cs="Times New Roman"/>
          <w:color w:val="8a794c"/>
          <w:sz w:val="24"/>
          <w:szCs w:val="24"/>
          <w:lang w:eastAsia="en-US"/>
        </w:rPr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xxxxxxxxxx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</w:t>
      </w:r>
      <w:r>
        <w:rPr>
          <w:rFonts w:ascii="Times New Roman" w:hAnsi="Times New Roman" w:cs="Times New Roman"/>
          <w:sz w:val="24"/>
          <w:szCs w:val="24"/>
        </w:rPr>
        <w:t xml:space="preserve">ytem: xxxxxxxxxxxxx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RČ:</w:t>
      </w:r>
      <w:r>
        <w:rPr>
          <w:rFonts w:ascii="Times New Roman" w:hAnsi="Times New Roman" w:cs="Times New Roman"/>
          <w:sz w:val="24"/>
          <w:szCs w:val="24"/>
        </w:rPr>
        <w:t xml:space="preserve"> xxxxxxxxxxx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(dále jen jako 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Prodávající</w:t>
      </w:r>
      <w:r>
        <w:rPr>
          <w:rFonts w:ascii="Times New Roman" w:hAnsi="Times New Roman" w:cs="Times New Roman"/>
          <w:sz w:val="24"/>
          <w:szCs w:val="24"/>
        </w:rPr>
        <w:t xml:space="preserve">“)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xxxxxxxxxxxx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Bytem: xxxxxxxxxxxxxxxxxx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RČ:</w:t>
      </w:r>
      <w:r>
        <w:rPr>
          <w:rFonts w:ascii="Times New Roman" w:hAnsi="Times New Roman" w:cs="Times New Roman"/>
          <w:sz w:val="24"/>
          <w:szCs w:val="24"/>
        </w:rPr>
        <w:t xml:space="preserve">xxxxxxxxxxxxxxxxx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(dále jen jako 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Kupující</w:t>
      </w:r>
      <w:r>
        <w:rPr>
          <w:rFonts w:ascii="Times New Roman" w:hAnsi="Times New Roman" w:cs="Times New Roman"/>
          <w:sz w:val="24"/>
          <w:szCs w:val="24"/>
        </w:rPr>
        <w:t xml:space="preserve">“)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a Kupující, dále společně jako 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Smluvní strany</w:t>
      </w:r>
      <w:r>
        <w:rPr>
          <w:rFonts w:ascii="Times New Roman" w:hAnsi="Times New Roman" w:cs="Times New Roman"/>
          <w:sz w:val="24"/>
          <w:szCs w:val="24"/>
        </w:rPr>
        <w:t xml:space="preserve">“, ujednávají následující: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8a794c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8a794c"/>
          <w:sz w:val="28"/>
          <w:szCs w:val="28"/>
        </w:rPr>
        <w:t xml:space="preserve">Čl. I.</w:t>
      </w:r>
      <w:r>
        <w:rPr>
          <w:rFonts w:ascii="Times New Roman" w:hAnsi="Times New Roman" w:cs="Times New Roman"/>
          <w:b/>
          <w:bCs/>
          <w:color w:val="8a794c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8a794c"/>
          <w:sz w:val="28"/>
          <w:szCs w:val="28"/>
        </w:rPr>
      </w:pPr>
      <w:r>
        <w:rPr>
          <w:rFonts w:ascii="Times New Roman" w:hAnsi="Times New Roman" w:cs="Times New Roman"/>
          <w:b/>
          <w:color w:val="8a794c"/>
          <w:sz w:val="28"/>
          <w:szCs w:val="28"/>
        </w:rPr>
        <w:t xml:space="preserve">Předmět převodu</w:t>
      </w:r>
      <w:r>
        <w:rPr>
          <w:rFonts w:ascii="Times New Roman" w:hAnsi="Times New Roman" w:cs="Times New Roman"/>
          <w:b/>
          <w:color w:val="8a794c"/>
          <w:sz w:val="28"/>
          <w:szCs w:val="28"/>
        </w:rPr>
      </w:r>
    </w:p>
    <w:p>
      <w:pPr>
        <w:ind w:hanging="284"/>
        <w:jc w:val="center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</w:r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pStyle w:val="743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Prodávající prohlašuje, že má ve svém výlučném vlastnictví následující nemovité věci: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43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43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43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(dále jen jako 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Nemovitosti</w:t>
      </w:r>
      <w:r>
        <w:rPr>
          <w:rFonts w:ascii="Times New Roman" w:hAnsi="Times New Roman" w:cs="Times New Roman"/>
          <w:sz w:val="24"/>
          <w:szCs w:val="24"/>
        </w:rPr>
        <w:t xml:space="preserve">“).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8a794c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8a794c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8a794c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8a794c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8a794c"/>
          <w:sz w:val="28"/>
          <w:szCs w:val="28"/>
        </w:rPr>
        <w:t xml:space="preserve">Čl. II.</w:t>
      </w:r>
      <w:r>
        <w:rPr>
          <w:rFonts w:ascii="Times New Roman" w:hAnsi="Times New Roman" w:cs="Times New Roman"/>
          <w:b/>
          <w:bCs/>
          <w:color w:val="8a794c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8a794c"/>
          <w:sz w:val="28"/>
          <w:szCs w:val="28"/>
        </w:rPr>
      </w:pPr>
      <w:r>
        <w:rPr>
          <w:rFonts w:ascii="Times New Roman" w:hAnsi="Times New Roman" w:cs="Times New Roman"/>
          <w:b/>
          <w:color w:val="8a794c"/>
          <w:sz w:val="28"/>
          <w:szCs w:val="28"/>
        </w:rPr>
        <w:t xml:space="preserve"> Předmět Smlouvy</w:t>
      </w:r>
      <w:r>
        <w:rPr>
          <w:rFonts w:ascii="Times New Roman" w:hAnsi="Times New Roman" w:cs="Times New Roman"/>
          <w:b/>
          <w:color w:val="8a794c"/>
          <w:sz w:val="28"/>
          <w:szCs w:val="28"/>
        </w:rPr>
      </w:r>
    </w:p>
    <w:p>
      <w:pPr>
        <w:ind w:hanging="284"/>
        <w:jc w:val="center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</w:r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pStyle w:val="752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Prodávající </w:t>
      </w:r>
      <w:r>
        <w:rPr>
          <w:rFonts w:ascii="Times New Roman" w:hAnsi="Times New Roman"/>
          <w:color w:val="auto"/>
          <w:sz w:val="24"/>
          <w:szCs w:val="24"/>
        </w:rPr>
        <w:t xml:space="preserve">touto </w:t>
      </w:r>
      <w:r>
        <w:rPr>
          <w:rFonts w:ascii="Times New Roman" w:hAnsi="Times New Roman"/>
          <w:color w:val="auto"/>
          <w:sz w:val="24"/>
          <w:szCs w:val="24"/>
        </w:rPr>
        <w:t xml:space="preserve">Smlouvou prodává Kupujícímu Nemovitosti se všemi součástmi a přísluš</w:t>
      </w:r>
      <w:r>
        <w:rPr>
          <w:rFonts w:ascii="Times New Roman" w:hAnsi="Times New Roman"/>
          <w:color w:val="auto"/>
          <w:sz w:val="24"/>
          <w:szCs w:val="24"/>
        </w:rPr>
        <w:t xml:space="preserve">enstvím a se všemi právy a povinnostmi v tom rozsahu, jak tyto doposud sám užíval a Kupující touto Smlouvou Nemovitosti se všemi součástmi a příslušenstvím a se všemi právy a povinnostmi, od Prodávajícího kupuje do výlučného vlastnictví, a to za kupní cenu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xxxxxxxxxxxx,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-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Kč</w:t>
      </w:r>
      <w:r>
        <w:rPr>
          <w:rFonts w:ascii="Times New Roman" w:hAnsi="Times New Roman"/>
          <w:color w:val="auto"/>
          <w:sz w:val="24"/>
          <w:szCs w:val="24"/>
        </w:rPr>
        <w:t xml:space="preserve"> (slovy:xxxxxxxxxxxxxx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korun českých), (dále též jako „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Kupní cena</w:t>
      </w:r>
      <w:r>
        <w:rPr>
          <w:rFonts w:ascii="Times New Roman" w:hAnsi="Times New Roman"/>
          <w:color w:val="auto"/>
          <w:sz w:val="24"/>
          <w:szCs w:val="24"/>
        </w:rPr>
        <w:t xml:space="preserve">“), a za dalších podmínek sjednaných touto Smlouvou.</w:t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8a794c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8a794c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8a794c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8a794c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8a794c"/>
          <w:sz w:val="28"/>
          <w:szCs w:val="28"/>
        </w:rPr>
        <w:t xml:space="preserve">Čl. III.</w:t>
      </w:r>
      <w:r>
        <w:rPr>
          <w:rFonts w:ascii="Times New Roman" w:hAnsi="Times New Roman" w:cs="Times New Roman"/>
          <w:color w:val="8a794c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8a794c"/>
          <w:sz w:val="28"/>
          <w:szCs w:val="28"/>
        </w:rPr>
      </w:pPr>
      <w:r>
        <w:rPr>
          <w:rFonts w:ascii="Times New Roman" w:hAnsi="Times New Roman" w:cs="Times New Roman"/>
          <w:b/>
          <w:color w:val="8a794c"/>
          <w:sz w:val="28"/>
          <w:szCs w:val="28"/>
        </w:rPr>
        <w:t xml:space="preserve">Úhrada Kupní ceny</w:t>
      </w:r>
      <w:r>
        <w:rPr>
          <w:rFonts w:ascii="Times New Roman" w:hAnsi="Times New Roman" w:cs="Times New Roman"/>
          <w:b/>
          <w:color w:val="8a794c"/>
          <w:sz w:val="28"/>
          <w:szCs w:val="28"/>
        </w:rPr>
      </w:r>
    </w:p>
    <w:p>
      <w:pPr>
        <w:pStyle w:val="752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743"/>
        <w:numPr>
          <w:ilvl w:val="0"/>
          <w:numId w:val="2"/>
        </w:numPr>
        <w:ind w:left="0" w:hanging="284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První část Kupní ceny ve výši </w:t>
      </w:r>
      <w:r>
        <w:rPr>
          <w:rFonts w:ascii="Times New Roman" w:hAnsi="Times New Roman" w:cs="Times New Roman"/>
          <w:sz w:val="24"/>
          <w:szCs w:val="24"/>
        </w:rPr>
        <w:t xml:space="preserve">xxxxxxx,- Kč</w:t>
      </w:r>
      <w:r>
        <w:rPr>
          <w:rFonts w:ascii="Times New Roman" w:hAnsi="Times New Roman" w:cs="Times New Roman"/>
          <w:sz w:val="24"/>
          <w:szCs w:val="24"/>
        </w:rPr>
        <w:t xml:space="preserve"> (slovy: xxxxxxx korun českých) uhradil Kupující před podpisem této Smlouvy na účet zprostředkovatele </w:t>
      </w:r>
      <w:r>
        <w:rPr>
          <w:rFonts w:ascii="Times New Roman" w:hAnsi="Times New Roman" w:cs="Times New Roman"/>
          <w:sz w:val="24"/>
          <w:szCs w:val="24"/>
        </w:rPr>
        <w:t xml:space="preserve">xxxxxxxx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(dále jako 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Zprostředkovatel</w:t>
      </w:r>
      <w:r>
        <w:rPr>
          <w:rFonts w:ascii="Times New Roman" w:hAnsi="Times New Roman" w:cs="Times New Roman"/>
          <w:sz w:val="24"/>
          <w:szCs w:val="24"/>
        </w:rPr>
        <w:t xml:space="preserve">“), čímž se má tato část Kupní ceny za uhrazenou, což Smluvní strany potvrzují podpisem v této Smlouvě.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43"/>
        <w:ind w:left="786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3"/>
        <w:numPr>
          <w:ilvl w:val="0"/>
          <w:numId w:val="2"/>
        </w:numPr>
        <w:ind w:left="0" w:hanging="284"/>
        <w:jc w:val="both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Druhou část Kupní ceny ve výši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xxxxxxxxxx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,- Kč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(slovy: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xxxxxxxx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korun českých) se zavazuje Kupující uhradit výhradně z vlastních prostředků do deseti (10) pracovních dnů od uzavření této Smlouvy, prostřednictvím advokátní úschovy u schovatele </w:t>
      </w:r>
      <w:r>
        <w:rPr>
          <w:rStyle w:val="753"/>
          <w:rFonts w:ascii="Times New Roman" w:hAnsi="Times New Roman" w:cs="Times New Roman"/>
          <w:b/>
          <w:sz w:val="24"/>
          <w:szCs w:val="24"/>
        </w:rPr>
        <w:t xml:space="preserve">AK LEGAL ADVICE s.r.o.</w:t>
      </w:r>
      <w:r>
        <w:rPr>
          <w:rFonts w:ascii="Times New Roman" w:hAnsi="Times New Roman" w:cs="Times New Roman"/>
          <w:sz w:val="24"/>
          <w:szCs w:val="24"/>
        </w:rPr>
        <w:t xml:space="preserve">, se sídlem U Železné lávky 568/10, Malá Strana, 11800 Praha 1, IČ: 09669221, společnosti zapsané v obchodním rejstříku vedeném Městským soudem v Praze, oddíl C, vložka 340099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(dále též jako „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Schovatel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“) na úschovní účet Schovatele vedený u peněžního ústavu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MONETA Money Bank, a.s.</w:t>
      </w:r>
      <w:r>
        <w:rPr>
          <w:rFonts w:ascii="Times New Roman" w:hAnsi="Times New Roman" w:cs="Times New Roman"/>
          <w:sz w:val="24"/>
          <w:szCs w:val="24"/>
        </w:rPr>
        <w:t xml:space="preserve">, číslo účtu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3f4f5"/>
        </w:rPr>
        <w:t xml:space="preserve">/ 0600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se kterým Prodávající a Kupující uzavřeli za tímto účelem, současně s touto Smlouvou, smlouvu o advokátní úschově. Druhá část Kupní ceny se považuje za uhrazenou okamžikem jejího připsání na účet Prodávajícího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color w:val="auto"/>
          <w:sz w:val="24"/>
          <w:szCs w:val="24"/>
          <w:lang w:eastAsia="ar-SA"/>
        </w:rPr>
      </w:r>
    </w:p>
    <w:p>
      <w:pPr>
        <w:pStyle w:val="743"/>
        <w:ind w:left="1146"/>
        <w:spacing w:after="0"/>
        <w:rPr>
          <w:rFonts w:ascii="Times New Roman" w:hAnsi="Times New Roman" w:cs="Times New Roman"/>
          <w:b/>
          <w:color w:val="auto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eastAsia="ar-SA"/>
        </w:rPr>
      </w:r>
      <w:r>
        <w:rPr>
          <w:rFonts w:ascii="Times New Roman" w:hAnsi="Times New Roman" w:cs="Times New Roman"/>
          <w:b/>
          <w:color w:val="auto"/>
          <w:sz w:val="24"/>
          <w:szCs w:val="24"/>
          <w:lang w:eastAsia="ar-SA"/>
        </w:rPr>
      </w:r>
    </w:p>
    <w:p>
      <w:pPr>
        <w:pStyle w:val="743"/>
        <w:numPr>
          <w:ilvl w:val="0"/>
          <w:numId w:val="2"/>
        </w:numPr>
        <w:ind w:left="0" w:hanging="284"/>
        <w:jc w:val="both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Bližší podmínky pro složení a uvolnění druhé části Kupní ceny jsou sjednány ve smlouvě o advokátní úschově.</w:t>
      </w:r>
      <w:r>
        <w:rPr>
          <w:rFonts w:ascii="Times New Roman" w:hAnsi="Times New Roman" w:cs="Times New Roman"/>
          <w:b/>
          <w:color w:val="auto"/>
          <w:sz w:val="24"/>
          <w:szCs w:val="24"/>
          <w:lang w:eastAsia="ar-SA"/>
        </w:rPr>
      </w:r>
    </w:p>
    <w:p>
      <w:pPr>
        <w:pStyle w:val="743"/>
        <w:ind w:left="360"/>
        <w:jc w:val="both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eastAsia="ar-SA"/>
        </w:rPr>
      </w:r>
      <w:r>
        <w:rPr>
          <w:rFonts w:ascii="Times New Roman" w:hAnsi="Times New Roman" w:cs="Times New Roman"/>
          <w:b/>
          <w:color w:val="auto"/>
          <w:sz w:val="24"/>
          <w:szCs w:val="24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8a794c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8a794c"/>
          <w:sz w:val="28"/>
          <w:szCs w:val="28"/>
        </w:rPr>
        <w:t xml:space="preserve">Čl.</w:t>
      </w:r>
      <w:r>
        <w:rPr>
          <w:rFonts w:ascii="Times New Roman" w:hAnsi="Times New Roman" w:cs="Times New Roman"/>
          <w:color w:val="8a794c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8a794c"/>
          <w:sz w:val="28"/>
          <w:szCs w:val="28"/>
        </w:rPr>
        <w:t xml:space="preserve">IV.</w:t>
      </w:r>
      <w:r>
        <w:rPr>
          <w:rFonts w:ascii="Times New Roman" w:hAnsi="Times New Roman" w:cs="Times New Roman"/>
          <w:b/>
          <w:color w:val="8a794c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8a794c"/>
          <w:sz w:val="28"/>
          <w:szCs w:val="28"/>
        </w:rPr>
      </w:pPr>
      <w:r>
        <w:rPr>
          <w:rFonts w:ascii="Times New Roman" w:hAnsi="Times New Roman" w:cs="Times New Roman"/>
          <w:b/>
          <w:color w:val="8a794c"/>
          <w:sz w:val="28"/>
          <w:szCs w:val="28"/>
        </w:rPr>
        <w:t xml:space="preserve">Prohlášení a ujištění Smluvních stran</w:t>
      </w:r>
      <w:r>
        <w:rPr>
          <w:rFonts w:ascii="Times New Roman" w:hAnsi="Times New Roman" w:cs="Times New Roman"/>
          <w:b/>
          <w:color w:val="8a794c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8a794c"/>
          <w:sz w:val="28"/>
          <w:szCs w:val="28"/>
        </w:rPr>
      </w:pPr>
      <w:r>
        <w:rPr>
          <w:rFonts w:ascii="Times New Roman" w:hAnsi="Times New Roman" w:cs="Times New Roman"/>
          <w:color w:val="8a794c"/>
          <w:sz w:val="28"/>
          <w:szCs w:val="28"/>
        </w:rPr>
      </w:r>
      <w:r>
        <w:rPr>
          <w:rFonts w:ascii="Times New Roman" w:hAnsi="Times New Roman" w:cs="Times New Roman"/>
          <w:color w:val="8a794c"/>
          <w:sz w:val="28"/>
          <w:szCs w:val="28"/>
        </w:rPr>
      </w:r>
    </w:p>
    <w:p>
      <w:pPr>
        <w:pStyle w:val="743"/>
        <w:numPr>
          <w:ilvl w:val="0"/>
          <w:numId w:val="4"/>
        </w:numPr>
        <w:ind w:left="0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Prodávající prohlašuje a ujišťuje Kupujícího, že: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numPr>
          <w:ilvl w:val="0"/>
          <w:numId w:val="5"/>
        </w:numPr>
        <w:ind w:left="284" w:hanging="284"/>
        <w:jc w:val="both"/>
        <w:spacing w:after="0" w:line="240" w:lineRule="auto"/>
        <w:rPr>
          <w:rFonts w:ascii="Times New Roman" w:hAnsi="Times New Roman" w:eastAsia="Arial" w:cs="Times New Roman"/>
          <w:color w:val="auto"/>
          <w:sz w:val="24"/>
          <w:szCs w:val="24"/>
          <w:shd w:val="clear" w:color="auto" w:fill="ffff00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je výlučným vlastníkem Nemovitostí a je oprávněn s nimi nakládat v plném rozsahu potřebném pro tuto Smlouvu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eastAsia="Arial" w:cs="Times New Roman"/>
          <w:color w:val="auto"/>
          <w:sz w:val="24"/>
          <w:szCs w:val="24"/>
          <w:shd w:val="clear" w:color="auto" w:fill="ffff00"/>
          <w:lang w:eastAsia="en-US"/>
        </w:rPr>
      </w:r>
    </w:p>
    <w:p>
      <w:pPr>
        <w:pStyle w:val="743"/>
        <w:ind w:left="284" w:hanging="284"/>
        <w:jc w:val="both"/>
        <w:spacing w:after="0" w:line="240" w:lineRule="auto"/>
        <w:rPr>
          <w:rFonts w:ascii="Times New Roman" w:hAnsi="Times New Roman" w:eastAsia="Arial" w:cs="Times New Roman"/>
          <w:color w:val="auto"/>
          <w:sz w:val="24"/>
          <w:szCs w:val="24"/>
          <w:shd w:val="clear" w:color="auto" w:fill="ffff00"/>
          <w:lang w:eastAsia="en-US"/>
        </w:rPr>
      </w:pPr>
      <w:r>
        <w:rPr>
          <w:rFonts w:ascii="Times New Roman" w:hAnsi="Times New Roman" w:eastAsia="Arial" w:cs="Times New Roman"/>
          <w:color w:val="auto"/>
          <w:sz w:val="24"/>
          <w:szCs w:val="24"/>
          <w:shd w:val="clear" w:color="auto" w:fill="ffff00"/>
          <w:lang w:eastAsia="en-US"/>
        </w:rPr>
      </w:r>
      <w:r>
        <w:rPr>
          <w:rFonts w:ascii="Times New Roman" w:hAnsi="Times New Roman" w:eastAsia="Arial" w:cs="Times New Roman"/>
          <w:color w:val="auto"/>
          <w:sz w:val="24"/>
          <w:szCs w:val="24"/>
          <w:shd w:val="clear" w:color="auto" w:fill="ffff00"/>
          <w:lang w:eastAsia="en-US"/>
        </w:rPr>
      </w:r>
    </w:p>
    <w:p>
      <w:pPr>
        <w:pStyle w:val="743"/>
        <w:numPr>
          <w:ilvl w:val="0"/>
          <w:numId w:val="5"/>
        </w:numPr>
        <w:ind w:left="284" w:hanging="284"/>
        <w:jc w:val="both"/>
        <w:spacing w:after="0" w:line="240" w:lineRule="auto"/>
        <w:rPr>
          <w:rFonts w:ascii="Times New Roman" w:hAnsi="Times New Roman" w:eastAsia="Arial" w:cs="Times New Roman"/>
          <w:color w:val="auto"/>
          <w:sz w:val="24"/>
          <w:szCs w:val="24"/>
          <w:shd w:val="clear" w:color="auto" w:fill="ffff00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Nemovit</w:t>
      </w:r>
      <w:r>
        <w:rPr>
          <w:rFonts w:ascii="Times New Roman" w:hAnsi="Times New Roman" w:cs="Times New Roman"/>
          <w:sz w:val="24"/>
          <w:szCs w:val="24"/>
        </w:rPr>
        <w:t xml:space="preserve">osti jsou prosty právních vad, zejména na nich nevázne žádné zástavní právo, žádné věcné břemeno, nájemní právo, ani do nabytí právní moci rozhodnutí o povolení vkladu vlastnického práva ve prospěch Kupujícího do katastru nemovitostí takováto práva nezřídí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r>
        <w:rPr>
          <w:rFonts w:ascii="Times New Roman" w:hAnsi="Times New Roman" w:eastAsia="Arial" w:cs="Times New Roman"/>
          <w:color w:val="auto"/>
          <w:sz w:val="24"/>
          <w:szCs w:val="24"/>
          <w:shd w:val="clear" w:color="auto" w:fill="ffff00"/>
          <w:lang w:eastAsia="en-US"/>
        </w:rPr>
      </w:r>
    </w:p>
    <w:p>
      <w:pPr>
        <w:pStyle w:val="743"/>
        <w:ind w:left="284" w:hanging="284"/>
        <w:jc w:val="both"/>
        <w:spacing w:after="0" w:line="240" w:lineRule="auto"/>
        <w:rPr>
          <w:rFonts w:ascii="Times New Roman" w:hAnsi="Times New Roman" w:eastAsia="Arial" w:cs="Times New Roman"/>
          <w:color w:val="auto"/>
          <w:sz w:val="24"/>
          <w:szCs w:val="24"/>
          <w:shd w:val="clear" w:color="auto" w:fill="ffff00"/>
          <w:lang w:eastAsia="en-US"/>
        </w:rPr>
      </w:pPr>
      <w:r>
        <w:rPr>
          <w:rFonts w:ascii="Times New Roman" w:hAnsi="Times New Roman" w:eastAsia="Arial" w:cs="Times New Roman"/>
          <w:color w:val="auto"/>
          <w:sz w:val="24"/>
          <w:szCs w:val="24"/>
          <w:shd w:val="clear" w:color="auto" w:fill="ffff00"/>
          <w:lang w:eastAsia="en-US"/>
        </w:rPr>
      </w:r>
      <w:r>
        <w:rPr>
          <w:rFonts w:ascii="Times New Roman" w:hAnsi="Times New Roman" w:eastAsia="Arial" w:cs="Times New Roman"/>
          <w:color w:val="auto"/>
          <w:sz w:val="24"/>
          <w:szCs w:val="24"/>
          <w:shd w:val="clear" w:color="auto" w:fill="ffff00"/>
          <w:lang w:eastAsia="en-US"/>
        </w:rPr>
      </w:r>
    </w:p>
    <w:p>
      <w:pPr>
        <w:pStyle w:val="743"/>
        <w:numPr>
          <w:ilvl w:val="0"/>
          <w:numId w:val="5"/>
        </w:numPr>
        <w:ind w:left="284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Nemovitosti ani žádná práva s nimi spojená nejsou předmětem žádného sporu ani žádného řízení; žádná třetí osoba nevznesla ve vztahu k Nemovitostem nárok, v jehož důsledku by mohlo dojít k omezení jeho práva Nemovitosti prodat Kupujícímu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ind w:left="284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numPr>
          <w:ilvl w:val="0"/>
          <w:numId w:val="5"/>
        </w:numPr>
        <w:ind w:left="284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není omezen, a to ani soudním či správním rozhodnutím, ve smluvní volnosti nakládat s Nemovitostmi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ind w:left="284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numPr>
          <w:ilvl w:val="0"/>
          <w:numId w:val="5"/>
        </w:numPr>
        <w:ind w:left="284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nepodal k soudu vůči sobě návrh na insolvenci, proti němu není vedeno exekuční řízení ani výkon rozhodnutí a ani řízení podle insolvenčního zákona;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284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numPr>
          <w:ilvl w:val="0"/>
          <w:numId w:val="5"/>
        </w:numPr>
        <w:ind w:left="284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nemá žádné splatné závazky z titulu daní, poplatků nebo sankcí vůči finančním úřadům nebo jiným státním orgánům v souvislosti s Nemovitostmi;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284" w:hanging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43"/>
        <w:numPr>
          <w:ilvl w:val="0"/>
          <w:numId w:val="5"/>
        </w:numPr>
        <w:ind w:left="284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veškerá prohlášení uvedená v tomto odstavci Smlouvy budou platná i v období od uzavření této Smlouvy do dne provedení vkladu vlastnického práva ve prospěch Kupujícího podle této Smlouvy.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ind w:left="0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numPr>
          <w:ilvl w:val="0"/>
          <w:numId w:val="4"/>
        </w:numPr>
        <w:ind w:left="0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Pokud by někdo vůči Kupujíc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ímu uplatňoval jakoukoliv pohledávku či jiné právo vzniklé před datem, k němuž je proveden vklad vlastnického práva k Nemovitostem, spojené s vlastnictvím a užíváním Nemovitostí, zavazuje se Prodávající, že pohledávku uhradí, resp. jiné právo uspokojí sám.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ind w:left="0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numPr>
          <w:ilvl w:val="0"/>
          <w:numId w:val="4"/>
        </w:numPr>
        <w:ind w:left="0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</w:t>
      </w:r>
      <w:r>
        <w:rPr>
          <w:rFonts w:ascii="Times New Roman" w:hAnsi="Times New Roman" w:cs="Times New Roman"/>
          <w:sz w:val="24"/>
          <w:szCs w:val="24"/>
        </w:rPr>
        <w:t xml:space="preserve">upující prohlašuje a ujišťuje Prodávajícího, že měl dostatek možností a dostatek času si Nemovitosti před uzavřením této Smlouvy řádně prohlédnout, a to případně i za účasti příslušného specialisty, řádně se seznámil se stavem Nemovitostí, jejich součástmi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příslušenstvím a v tomto stavu Nemovitosti kupuje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ind w:left="360"/>
        <w:jc w:val="both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eastAsia="ar-SA"/>
        </w:rPr>
      </w:r>
      <w:r>
        <w:rPr>
          <w:rFonts w:ascii="Times New Roman" w:hAnsi="Times New Roman" w:cs="Times New Roman"/>
          <w:b/>
          <w:color w:val="auto"/>
          <w:sz w:val="24"/>
          <w:szCs w:val="24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8a794c"/>
          <w:sz w:val="28"/>
          <w:szCs w:val="28"/>
        </w:rPr>
      </w:pPr>
      <w:r>
        <w:rPr>
          <w:rFonts w:ascii="Times New Roman" w:hAnsi="Times New Roman" w:cs="Times New Roman"/>
          <w:b/>
          <w:color w:val="8a794c"/>
          <w:sz w:val="28"/>
          <w:szCs w:val="28"/>
        </w:rPr>
        <w:t xml:space="preserve">Čl. V.</w:t>
      </w:r>
      <w:r>
        <w:rPr>
          <w:rFonts w:ascii="Times New Roman" w:hAnsi="Times New Roman" w:cs="Times New Roman"/>
          <w:b/>
          <w:color w:val="8a794c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8a794c"/>
          <w:sz w:val="28"/>
          <w:szCs w:val="28"/>
        </w:rPr>
      </w:pPr>
      <w:r>
        <w:rPr>
          <w:rFonts w:ascii="Times New Roman" w:hAnsi="Times New Roman" w:cs="Times New Roman"/>
          <w:b/>
          <w:color w:val="8a794c"/>
          <w:sz w:val="28"/>
          <w:szCs w:val="28"/>
        </w:rPr>
        <w:t xml:space="preserve">Vklad vlastnického práva</w:t>
      </w:r>
      <w:r>
        <w:rPr>
          <w:rFonts w:ascii="Times New Roman" w:hAnsi="Times New Roman" w:cs="Times New Roman"/>
          <w:b/>
          <w:color w:val="8a794c"/>
          <w:sz w:val="28"/>
          <w:szCs w:val="28"/>
        </w:rPr>
      </w:r>
    </w:p>
    <w:p>
      <w:pPr>
        <w:ind w:hanging="284"/>
        <w:jc w:val="center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</w:r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pStyle w:val="743"/>
        <w:numPr>
          <w:ilvl w:val="1"/>
          <w:numId w:val="5"/>
        </w:numPr>
        <w:ind w:left="0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Zároveň s touto Smlouvou Smluvní strany podepisují návrh na vklad vlastnického práva k Nemovitostem ve prospěch Kupujícího (dále jako „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Návrh na vklad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“). Návrh na vklad podá Schovatel příslušnému katastrálnímu úřadu do pěti (5) pracovních dnů ode dne připsání druhé části Kupní ceny na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úschovní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účet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Schovatele. 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ind w:left="0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numPr>
          <w:ilvl w:val="1"/>
          <w:numId w:val="5"/>
        </w:numPr>
        <w:ind w:left="0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Vlastnické právo k Nemovitost</w:t>
      </w:r>
      <w:r>
        <w:rPr>
          <w:rFonts w:ascii="Times New Roman" w:hAnsi="Times New Roman" w:cs="Times New Roman"/>
          <w:sz w:val="24"/>
          <w:szCs w:val="24"/>
        </w:rPr>
        <w:t xml:space="preserve">em spolu s veškerými souvisejícími právy a povinnostmi přechází na Kupujícího na základě provedení vkladu vlastnického práva ve prospěch Kupujícího do katastru nemovitostí, a to zpětně ke dni, kdy byl u příslušného katastrálního úřadu podán Návrh na vklad.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numPr>
          <w:ilvl w:val="1"/>
          <w:numId w:val="5"/>
        </w:numPr>
        <w:ind w:left="0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Smluvní strany se zavazují učinit veš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keré potřebné právní jednání, aby katastrální úřad mohl řádně rozhodnout o povolení vkladu vlastnického práva ve prospěch Kupujícího k Nemovitostem, a to v co nejkratším termínu. Za tímto účelem se Smluvní strany zavazují poskytnout si vzájemně součinnost.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numPr>
          <w:ilvl w:val="1"/>
          <w:numId w:val="5"/>
        </w:numPr>
        <w:ind w:left="0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Jestliže katastrální úřad příslušný pro vklad práva podle této Smlouvy rozhodne, že příslušný Návrh na vklad anebo tato Smlouva nejsou dostatečným podkladem</w:t>
      </w:r>
      <w:r>
        <w:rPr>
          <w:rFonts w:ascii="Times New Roman" w:hAnsi="Times New Roman" w:cs="Times New Roman"/>
          <w:sz w:val="24"/>
          <w:szCs w:val="24"/>
        </w:rPr>
        <w:t xml:space="preserve"> pro takový zápis, pak se Smluvní strany zavazují, že ihned zahájí veškerá potřebná opatření a provedou potřebné právní úkony směřující k odstranění nedostatků v Návrhu na vklad nebo v této Smlouvě tak, aby vklad podle této Smlouvy byl proveden co nejdříve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numPr>
          <w:ilvl w:val="1"/>
          <w:numId w:val="5"/>
        </w:numPr>
        <w:ind w:left="0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Správní poplatek za zahájení vkladového řízení </w:t>
      </w:r>
      <w:r>
        <w:rPr>
          <w:rFonts w:ascii="Times New Roman" w:hAnsi="Times New Roman" w:cs="Times New Roman"/>
          <w:sz w:val="24"/>
          <w:szCs w:val="24"/>
        </w:rPr>
        <w:t xml:space="preserve">hradí</w:t>
      </w:r>
      <w:r>
        <w:rPr>
          <w:rFonts w:ascii="Times New Roman" w:hAnsi="Times New Roman" w:cs="Times New Roman"/>
          <w:sz w:val="24"/>
          <w:szCs w:val="24"/>
        </w:rPr>
        <w:t xml:space="preserve"> Kupující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ind w:left="0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8a794c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8a794c"/>
          <w:sz w:val="28"/>
          <w:szCs w:val="28"/>
        </w:rPr>
        <w:t xml:space="preserve">Čl. VI.</w:t>
      </w:r>
      <w:r>
        <w:rPr>
          <w:rFonts w:ascii="Times New Roman" w:hAnsi="Times New Roman" w:cs="Times New Roman"/>
          <w:b/>
          <w:bCs/>
          <w:color w:val="8a794c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8a794c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8a794c"/>
          <w:sz w:val="28"/>
          <w:szCs w:val="28"/>
        </w:rPr>
        <w:t xml:space="preserve">Odstoupení od Smlouvy</w:t>
      </w:r>
      <w:r>
        <w:rPr>
          <w:rFonts w:ascii="Times New Roman" w:hAnsi="Times New Roman" w:cs="Times New Roman"/>
          <w:b/>
          <w:bCs/>
          <w:color w:val="8a794c"/>
          <w:sz w:val="28"/>
          <w:szCs w:val="28"/>
        </w:rPr>
      </w:r>
    </w:p>
    <w:p>
      <w:pPr>
        <w:ind w:hanging="284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</w:r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pStyle w:val="743"/>
        <w:numPr>
          <w:ilvl w:val="0"/>
          <w:numId w:val="6"/>
        </w:numPr>
        <w:ind w:left="0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Kupující je oprávněn od této Smlouvy odstoupit v případě, že se jakékoliv z prohlášení Prodávajícího obsažené v této Smlouvě ukáže nepravdivým či klamavým a Prodávající nezjedná nápravu ani do čtrnácti (14) dnů od doručení písemné výzvy Kupujícího.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numPr>
          <w:ilvl w:val="0"/>
          <w:numId w:val="6"/>
        </w:numPr>
        <w:ind w:left="0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Pro případ, 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e se jakékoliv z prohlášení Prodávajícího obsažené v této Smlouvě ukáže nepravdivým či klamavým a Prodávající nezjedná nápravu ani do čtrnácti (14) dnů od doručení písemné výzvy Kupujícího, zavazuje se Prodávající uhradit Kupujícímu smluvní pokutu ve výši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5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0.000, - Kč (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s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lovy: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padesá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t tisíc korun českých) za každé nepravdivé či klamavé prohlášení, a to do sedmi (7) dnů od doručení písemné výzvy Kupujícího k uhrazení smluvní pokuty.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numPr>
          <w:ilvl w:val="0"/>
          <w:numId w:val="6"/>
        </w:numPr>
        <w:ind w:left="0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Pro případ, že Kupující neuhradí druhou část Kupní ceny v </w:t>
      </w:r>
      <w:r>
        <w:rPr>
          <w:rFonts w:ascii="Times New Roman" w:hAnsi="Times New Roman" w:cs="Times New Roman"/>
          <w:sz w:val="24"/>
          <w:szCs w:val="24"/>
        </w:rPr>
        <w:t xml:space="preserve">termínu dle této Smlouvy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zavazuje se Kupující uhradit Prodávajícímu smluvní pokutu ve výši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1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.000, - Kč (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s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lovy: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jeden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tisíc korun českých) za kaž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dý den prodlení, a to do sedmi (7) dnů od doručení písemné výzvy Prodávajícího k uhrazení smluvní pokuty. V případě prodlení Kupujícího se splněním této jeho povinnosti delší než čtrnáct (14) dnů je strana Prodávající oprávněna od této Smlouvy odstoupit.  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numPr>
          <w:ilvl w:val="0"/>
          <w:numId w:val="6"/>
        </w:numPr>
        <w:ind w:left="0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V případě odstoupení od této Smlouvy jsou Smluvní strany navzájem povinny vydat si vše, co si na základě této Smlouvy plnily, vyjma rezervačního poplatku, resp. první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části Kupní ceny, a to ve lhůtě čtrnáct (14) dnů ode dne doručení písemného oznámení o odstoupení od této Smlouvy, s výjimkou v případě odstoupení od této Smlouvy na základě odst. 1. tohoto článku, kdy se první část Kupní ceny vrací Kupujícímu v plné výši.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ind w:left="0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8a794c"/>
          <w:sz w:val="28"/>
          <w:szCs w:val="28"/>
        </w:rPr>
      </w:pPr>
      <w:r>
        <w:rPr>
          <w:rFonts w:ascii="Times New Roman" w:hAnsi="Times New Roman" w:cs="Times New Roman"/>
          <w:b/>
          <w:color w:val="8a794c"/>
          <w:sz w:val="28"/>
          <w:szCs w:val="28"/>
        </w:rPr>
        <w:t xml:space="preserve">Čl. VII.</w:t>
      </w:r>
      <w:r>
        <w:rPr>
          <w:rFonts w:ascii="Times New Roman" w:hAnsi="Times New Roman" w:cs="Times New Roman"/>
          <w:b/>
          <w:color w:val="8a794c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8a794c"/>
          <w:sz w:val="28"/>
          <w:szCs w:val="28"/>
        </w:rPr>
      </w:pPr>
      <w:r>
        <w:rPr>
          <w:rFonts w:ascii="Times New Roman" w:hAnsi="Times New Roman" w:cs="Times New Roman"/>
          <w:b/>
          <w:color w:val="8a794c"/>
          <w:sz w:val="28"/>
          <w:szCs w:val="28"/>
        </w:rPr>
        <w:t xml:space="preserve">Závěrečná ustanovení</w:t>
      </w:r>
      <w:r>
        <w:rPr>
          <w:rFonts w:ascii="Times New Roman" w:hAnsi="Times New Roman" w:cs="Times New Roman"/>
          <w:b/>
          <w:color w:val="8a794c"/>
          <w:sz w:val="28"/>
          <w:szCs w:val="28"/>
        </w:rPr>
      </w:r>
    </w:p>
    <w:p>
      <w:pPr>
        <w:ind w:hanging="284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</w:r>
      <w:r>
        <w:rPr>
          <w:rFonts w:ascii="Times New Roman" w:hAnsi="Times New Roman" w:cs="Times New Roman"/>
          <w:b/>
          <w:color w:val="auto"/>
          <w:sz w:val="24"/>
          <w:szCs w:val="24"/>
        </w:rPr>
      </w:r>
    </w:p>
    <w:p>
      <w:pPr>
        <w:pStyle w:val="743"/>
        <w:numPr>
          <w:ilvl w:val="0"/>
          <w:numId w:val="7"/>
        </w:numPr>
        <w:ind w:left="0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Tato Smlouva se vyhotovuje v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e třech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) stejnopisech, z nichž každá ze Smluvních stran obdrží po jednom stejnopise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a jeden stejnopis s úředně ověřenými podpisy Smluvních stran je určen pro účely vkladu vlastnického práva ve prospěch Kupujícího do katastru nemovitostí.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ind w:left="0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numPr>
          <w:ilvl w:val="0"/>
          <w:numId w:val="7"/>
        </w:numPr>
        <w:ind w:left="0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Tato Smlouva obsahuje úplné ujednání o předmětu Smlouvy a všech náležitostech, které Smluvní strany měly a chtěly ve Smlouvě ujednat, a které považují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za důležité pro závaznost této Smlouvy. Žádný projev Smluvních stran učiněný při jednání o této Smlouvě ani projev učiněný po uzavření této Smlouvy nesmí být vykládán v rozporu s ustanoveními této Smlouvy a nezakládá žádný závazek žádné ze Smluvních stran.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numPr>
          <w:ilvl w:val="0"/>
          <w:numId w:val="7"/>
        </w:numPr>
        <w:ind w:left="0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Tato Smlouva nabývá platnosti a účinnosti dnem jejího podpisu Smluvními stranami. 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ind w:left="0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numPr>
          <w:ilvl w:val="0"/>
          <w:numId w:val="7"/>
        </w:numPr>
        <w:ind w:left="0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Tato Smlouva se řídí právním řádem České republiky. 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numPr>
          <w:ilvl w:val="0"/>
          <w:numId w:val="7"/>
        </w:numPr>
        <w:ind w:left="0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Tato Smlouva může být měněna a doplňována pouze písemnými dodatky podepsanými Smluvními stranami.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43"/>
        <w:numPr>
          <w:ilvl w:val="0"/>
          <w:numId w:val="7"/>
        </w:numPr>
        <w:ind w:left="0" w:hanging="284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Smluvní strany prohlašuj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í, že si Smlouvu přečetly, a že porozuměly jejímu obsahu a účelu. Dále Smluvní strany prohlašují, že tato Smlouva je výrazem jejich pravé a svobodné vůle, a že není uzavírána v tísni ani za nápadně nevýhodných podmínek. Na důkaz toho připojují své podpisy.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right="57"/>
        <w:jc w:val="both"/>
        <w:spacing w:after="0" w:line="240" w:lineRule="auto"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V Praze </w:t>
      </w:r>
      <w:r>
        <w:rPr>
          <w:rFonts w:ascii="Times New Roman" w:hAnsi="Times New Roman" w:eastAsia="MS Mincho" w:cs="Times New Roman"/>
          <w:sz w:val="24"/>
          <w:szCs w:val="24"/>
          <w:highlight w:val="yellow"/>
        </w:rPr>
        <w:t xml:space="preserve">dne</w:t>
      </w:r>
      <w:r>
        <w:rPr>
          <w:rFonts w:ascii="Times New Roman" w:hAnsi="Times New Roman" w:eastAsia="MS Mincho" w:cs="Times New Roman"/>
          <w:sz w:val="24"/>
          <w:szCs w:val="24"/>
        </w:rPr>
        <w:t xml:space="preserve">  </w:t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ind w:right="57"/>
        <w:jc w:val="both"/>
        <w:spacing w:after="0" w:line="240" w:lineRule="auto"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ind w:right="57"/>
        <w:jc w:val="both"/>
        <w:spacing w:after="0" w:line="240" w:lineRule="auto"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</w:r>
      <w:r>
        <w:rPr>
          <w:rFonts w:ascii="Times New Roman" w:hAnsi="Times New Roman" w:eastAsia="MS Mincho" w:cs="Times New Roman"/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9"/>
        <w:gridCol w:w="4419"/>
      </w:tblGrid>
      <w:tr>
        <w:trPr/>
        <w:tc>
          <w:tcPr>
            <w:tcW w:w="4419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</w:rPr>
            </w:pPr>
            <w:r/>
            <w:bookmarkStart w:id="1" w:name="_Hlk211876096"/>
            <w:r/>
            <w:r>
              <w:rPr>
                <w:rFonts w:ascii="Times New Roman" w:hAnsi="Times New Roman" w:eastAsia="MS Mincho" w:cs="Times New Roman"/>
                <w:sz w:val="24"/>
                <w:szCs w:val="24"/>
              </w:rPr>
            </w:r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 xml:space="preserve">______________________</w:t>
            </w:r>
            <w:r>
              <w:rPr>
                <w:rFonts w:ascii="Times New Roman" w:hAnsi="Times New Roman" w:eastAsia="MS Mincho" w:cs="Times New Roman"/>
                <w:sz w:val="24"/>
                <w:szCs w:val="24"/>
              </w:rPr>
            </w:r>
          </w:p>
        </w:tc>
        <w:tc>
          <w:tcPr>
            <w:tcW w:w="4419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</w:rPr>
            </w:r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 xml:space="preserve">______________________</w:t>
            </w:r>
            <w:r>
              <w:rPr>
                <w:rFonts w:ascii="Times New Roman" w:hAnsi="Times New Roman" w:eastAsia="MS Mincho" w:cs="Times New Roman"/>
                <w:sz w:val="24"/>
                <w:szCs w:val="24"/>
              </w:rPr>
            </w:r>
          </w:p>
        </w:tc>
      </w:tr>
      <w:tr>
        <w:trPr/>
        <w:tc>
          <w:tcPr>
            <w:tcW w:w="4419" w:type="dxa"/>
            <w:textDirection w:val="lrTb"/>
            <w:noWrap w:val="false"/>
          </w:tcPr>
          <w:p>
            <w:pPr>
              <w:pStyle w:val="75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xxxxxx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4419" w:type="dxa"/>
            <w:textDirection w:val="lrTb"/>
            <w:noWrap w:val="false"/>
          </w:tcPr>
          <w:p>
            <w:pPr>
              <w:pStyle w:val="75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xxxxxxxx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7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bookmarkEnd w:id="1"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609040205080304"/>
  </w:font>
  <w:font w:name="Times New Roman">
    <w:panose1 w:val="02020603050405020304"/>
  </w:font>
  <w:font w:name="Helvetica">
    <w:panose1 w:val="020B0604020202020204"/>
  </w:font>
  <w:font w:name="SimSun;Arial Unicode MS">
    <w:panose1 w:val="02010600030101010101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44861655"/>
      <w:docPartObj>
        <w:docPartGallery w:val="Page Numbers (Bottom of Page)"/>
        <w:docPartUnique w:val="true"/>
      </w:docPartObj>
      <w:rPr/>
    </w:sdtPr>
    <w:sdtContent>
      <w:p>
        <w:pPr>
          <w:pStyle w:val="750"/>
          <w:jc w:val="center"/>
          <w:rPr>
            <w:b/>
            <w:bCs/>
          </w:rPr>
        </w:pP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>
          <w:rPr>
            <w:b/>
            <w:bCs/>
          </w:rPr>
        </w:r>
      </w:p>
    </w:sdtContent>
  </w:sdt>
  <w:p>
    <w:pPr>
      <w:pStyle w:val="75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5227683</wp:posOffset>
              </wp:positionH>
              <wp:positionV relativeFrom="paragraph">
                <wp:posOffset>-129359</wp:posOffset>
              </wp:positionV>
              <wp:extent cx="1162800" cy="241200"/>
              <wp:effectExtent l="0" t="0" r="0" b="6985"/>
              <wp:wrapSquare wrapText="bothSides"/>
              <wp:docPr id="1" name="Obrázek 16" descr="Obsah obrázku Písmo, text, typografie, design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43902" name="Obrázek 16" descr="Obsah obrázku Písmo, text, typografie, design&#10;&#10;Popis byl vytvořen automaticky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162800" cy="241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8240;o:allowoverlap:true;o:allowincell:true;mso-position-horizontal-relative:text;margin-left:411.63pt;mso-position-horizontal:absolute;mso-position-vertical-relative:text;margin-top:-10.19pt;mso-position-vertical:absolute;width:91.56pt;height:18.99pt;mso-wrap-distance-left:9.00pt;mso-wrap-distance-top:0.00pt;mso-wrap-distance-right:9.00pt;mso-wrap-distance-bottom:0.00pt;" stroked="false">
              <v:path textboxrect="0,0,0,0"/>
              <w10:wrap type="square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bullet"/>
      <w:isLgl w:val="false"/>
      <w:suff w:val="tab"/>
      <w:lvlText w:val="-"/>
      <w:lvlJc w:val="left"/>
      <w:pPr>
        <w:ind w:left="1080" w:hanging="360"/>
      </w:pPr>
      <w:rPr>
        <w:rFonts w:hint="default" w:ascii="Times New Roman" w:hAnsi="Times New Roman" w:eastAsia="SimSun;Arial Unicode MS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cs-CZ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5"/>
    <w:link w:val="71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5"/>
    <w:link w:val="71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5"/>
    <w:link w:val="71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25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25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5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25"/>
    <w:link w:val="737"/>
    <w:uiPriority w:val="10"/>
    <w:rPr>
      <w:sz w:val="48"/>
      <w:szCs w:val="48"/>
    </w:rPr>
  </w:style>
  <w:style w:type="character" w:styleId="37">
    <w:name w:val="Subtitle Char"/>
    <w:basedOn w:val="725"/>
    <w:link w:val="739"/>
    <w:uiPriority w:val="11"/>
    <w:rPr>
      <w:sz w:val="24"/>
      <w:szCs w:val="24"/>
    </w:rPr>
  </w:style>
  <w:style w:type="character" w:styleId="39">
    <w:name w:val="Quote Char"/>
    <w:link w:val="741"/>
    <w:uiPriority w:val="29"/>
    <w:rPr>
      <w:i/>
    </w:rPr>
  </w:style>
  <w:style w:type="character" w:styleId="41">
    <w:name w:val="Intense Quote Char"/>
    <w:link w:val="745"/>
    <w:uiPriority w:val="30"/>
    <w:rPr>
      <w:i/>
    </w:rPr>
  </w:style>
  <w:style w:type="character" w:styleId="43">
    <w:name w:val="Header Char"/>
    <w:basedOn w:val="725"/>
    <w:link w:val="748"/>
    <w:uiPriority w:val="99"/>
  </w:style>
  <w:style w:type="character" w:styleId="45">
    <w:name w:val="Footer Char"/>
    <w:basedOn w:val="725"/>
    <w:link w:val="750"/>
    <w:uiPriority w:val="99"/>
  </w:style>
  <w:style w:type="paragraph" w:styleId="46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0"/>
    <w:uiPriority w:val="99"/>
  </w:style>
  <w:style w:type="table" w:styleId="48">
    <w:name w:val="Table Grid"/>
    <w:basedOn w:val="7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7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5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5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pPr>
      <w:spacing w:line="252" w:lineRule="auto"/>
    </w:pPr>
    <w:rPr>
      <w:rFonts w:ascii="Calibri" w:hAnsi="Calibri" w:eastAsia="SimSun;Arial Unicode MS" w:cs="Calibri"/>
      <w:color w:val="00000a"/>
      <w:sz w:val="22"/>
      <w:szCs w:val="22"/>
      <w:lang w:eastAsia="zh-CN"/>
      <w14:ligatures w14:val="none"/>
    </w:rPr>
  </w:style>
  <w:style w:type="paragraph" w:styleId="716">
    <w:name w:val="Heading 1"/>
    <w:basedOn w:val="715"/>
    <w:next w:val="715"/>
    <w:link w:val="728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717">
    <w:name w:val="Heading 2"/>
    <w:basedOn w:val="715"/>
    <w:next w:val="715"/>
    <w:link w:val="729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718">
    <w:name w:val="Heading 3"/>
    <w:basedOn w:val="715"/>
    <w:next w:val="715"/>
    <w:link w:val="730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719">
    <w:name w:val="Heading 4"/>
    <w:basedOn w:val="715"/>
    <w:next w:val="715"/>
    <w:link w:val="731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20">
    <w:name w:val="Heading 5"/>
    <w:basedOn w:val="715"/>
    <w:next w:val="715"/>
    <w:link w:val="732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721">
    <w:name w:val="Heading 6"/>
    <w:basedOn w:val="715"/>
    <w:next w:val="715"/>
    <w:link w:val="733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22">
    <w:name w:val="Heading 7"/>
    <w:basedOn w:val="715"/>
    <w:next w:val="715"/>
    <w:link w:val="734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723">
    <w:name w:val="Heading 8"/>
    <w:basedOn w:val="715"/>
    <w:next w:val="715"/>
    <w:link w:val="735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24">
    <w:name w:val="Heading 9"/>
    <w:basedOn w:val="715"/>
    <w:next w:val="715"/>
    <w:link w:val="736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Nadpis 1 Char"/>
    <w:basedOn w:val="725"/>
    <w:link w:val="716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729" w:customStyle="1">
    <w:name w:val="Nadpis 2 Char"/>
    <w:basedOn w:val="725"/>
    <w:link w:val="717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730" w:customStyle="1">
    <w:name w:val="Nadpis 3 Char"/>
    <w:basedOn w:val="725"/>
    <w:link w:val="718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731" w:customStyle="1">
    <w:name w:val="Nadpis 4 Char"/>
    <w:basedOn w:val="725"/>
    <w:link w:val="719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732" w:customStyle="1">
    <w:name w:val="Nadpis 5 Char"/>
    <w:basedOn w:val="725"/>
    <w:link w:val="720"/>
    <w:uiPriority w:val="9"/>
    <w:semiHidden/>
    <w:rPr>
      <w:rFonts w:eastAsiaTheme="majorEastAsia" w:cstheme="majorBidi"/>
      <w:color w:val="0f4761" w:themeColor="accent1" w:themeShade="BF"/>
    </w:rPr>
  </w:style>
  <w:style w:type="character" w:styleId="733" w:customStyle="1">
    <w:name w:val="Nadpis 6 Char"/>
    <w:basedOn w:val="725"/>
    <w:link w:val="721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734" w:customStyle="1">
    <w:name w:val="Nadpis 7 Char"/>
    <w:basedOn w:val="725"/>
    <w:link w:val="722"/>
    <w:uiPriority w:val="9"/>
    <w:semiHidden/>
    <w:rPr>
      <w:rFonts w:eastAsiaTheme="majorEastAsia" w:cstheme="majorBidi"/>
      <w:color w:val="595959" w:themeColor="text1" w:themeTint="A6"/>
    </w:rPr>
  </w:style>
  <w:style w:type="character" w:styleId="735" w:customStyle="1">
    <w:name w:val="Nadpis 8 Char"/>
    <w:basedOn w:val="725"/>
    <w:link w:val="723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736" w:customStyle="1">
    <w:name w:val="Nadpis 9 Char"/>
    <w:basedOn w:val="725"/>
    <w:link w:val="724"/>
    <w:uiPriority w:val="9"/>
    <w:semiHidden/>
    <w:rPr>
      <w:rFonts w:eastAsiaTheme="majorEastAsia" w:cstheme="majorBidi"/>
      <w:color w:val="272727" w:themeColor="text1" w:themeTint="D8"/>
    </w:rPr>
  </w:style>
  <w:style w:type="paragraph" w:styleId="737">
    <w:name w:val="Title"/>
    <w:basedOn w:val="715"/>
    <w:next w:val="715"/>
    <w:link w:val="738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38" w:customStyle="1">
    <w:name w:val="Název Char"/>
    <w:basedOn w:val="725"/>
    <w:link w:val="737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39">
    <w:name w:val="Subtitle"/>
    <w:basedOn w:val="715"/>
    <w:next w:val="715"/>
    <w:link w:val="740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740" w:customStyle="1">
    <w:name w:val="Podnadpis Char"/>
    <w:basedOn w:val="725"/>
    <w:link w:val="739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41">
    <w:name w:val="Quote"/>
    <w:basedOn w:val="715"/>
    <w:next w:val="715"/>
    <w:link w:val="742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742" w:customStyle="1">
    <w:name w:val="Citát Char"/>
    <w:basedOn w:val="725"/>
    <w:link w:val="741"/>
    <w:uiPriority w:val="29"/>
    <w:rPr>
      <w:i/>
      <w:iCs/>
      <w:color w:val="404040" w:themeColor="text1" w:themeTint="BF"/>
    </w:rPr>
  </w:style>
  <w:style w:type="paragraph" w:styleId="743">
    <w:name w:val="List Paragraph"/>
    <w:basedOn w:val="715"/>
    <w:uiPriority w:val="34"/>
    <w:qFormat/>
    <w:pPr>
      <w:contextualSpacing/>
      <w:ind w:left="720"/>
    </w:pPr>
  </w:style>
  <w:style w:type="character" w:styleId="744">
    <w:name w:val="Intense Emphasis"/>
    <w:basedOn w:val="725"/>
    <w:uiPriority w:val="21"/>
    <w:qFormat/>
    <w:rPr>
      <w:i/>
      <w:iCs/>
      <w:color w:val="0f4761" w:themeColor="accent1" w:themeShade="BF"/>
    </w:rPr>
  </w:style>
  <w:style w:type="paragraph" w:styleId="745">
    <w:name w:val="Intense Quote"/>
    <w:basedOn w:val="715"/>
    <w:next w:val="715"/>
    <w:link w:val="746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746" w:customStyle="1">
    <w:name w:val="Výrazný citát Char"/>
    <w:basedOn w:val="725"/>
    <w:link w:val="745"/>
    <w:uiPriority w:val="30"/>
    <w:rPr>
      <w:i/>
      <w:iCs/>
      <w:color w:val="0f4761" w:themeColor="accent1" w:themeShade="BF"/>
    </w:rPr>
  </w:style>
  <w:style w:type="character" w:styleId="747">
    <w:name w:val="Intense Reference"/>
    <w:basedOn w:val="725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748">
    <w:name w:val="Header"/>
    <w:basedOn w:val="715"/>
    <w:link w:val="749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49" w:customStyle="1">
    <w:name w:val="Záhlaví Char"/>
    <w:basedOn w:val="725"/>
    <w:link w:val="748"/>
    <w:uiPriority w:val="99"/>
    <w:rPr>
      <w:rFonts w:ascii="Calibri" w:hAnsi="Calibri" w:eastAsia="SimSun;Arial Unicode MS" w:cs="Calibri"/>
      <w:color w:val="00000a"/>
      <w:sz w:val="22"/>
      <w:szCs w:val="22"/>
      <w:lang w:eastAsia="zh-CN"/>
      <w14:ligatures w14:val="none"/>
    </w:rPr>
  </w:style>
  <w:style w:type="paragraph" w:styleId="750">
    <w:name w:val="Footer"/>
    <w:basedOn w:val="715"/>
    <w:link w:val="751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51" w:customStyle="1">
    <w:name w:val="Zápatí Char"/>
    <w:basedOn w:val="725"/>
    <w:link w:val="750"/>
    <w:uiPriority w:val="99"/>
    <w:rPr>
      <w:rFonts w:ascii="Calibri" w:hAnsi="Calibri" w:eastAsia="SimSun;Arial Unicode MS" w:cs="Calibri"/>
      <w:color w:val="00000a"/>
      <w:sz w:val="22"/>
      <w:szCs w:val="22"/>
      <w:lang w:eastAsia="zh-CN"/>
      <w14:ligatures w14:val="none"/>
    </w:rPr>
  </w:style>
  <w:style w:type="paragraph" w:styleId="752" w:customStyle="1">
    <w:name w:val="p1"/>
    <w:basedOn w:val="715"/>
    <w:pPr>
      <w:spacing w:after="0" w:line="240" w:lineRule="auto"/>
    </w:pPr>
    <w:rPr>
      <w:rFonts w:ascii="Helvetica" w:hAnsi="Helvetica" w:eastAsia="Times New Roman" w:cs="Times New Roman"/>
      <w:color w:val="000000"/>
      <w:sz w:val="15"/>
      <w:szCs w:val="15"/>
      <w:lang w:eastAsia="cs-CZ"/>
    </w:rPr>
  </w:style>
  <w:style w:type="character" w:styleId="753" w:customStyle="1">
    <w:name w:val="preformatted"/>
    <w:basedOn w:val="725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info@aklegaladvice.cz</dc:creator>
  <cp:keywords/>
  <dc:description/>
  <cp:revision>23</cp:revision>
  <dcterms:created xsi:type="dcterms:W3CDTF">2025-10-20T12:48:00Z</dcterms:created>
  <dcterms:modified xsi:type="dcterms:W3CDTF">2025-11-08T16:26:02Z</dcterms:modified>
</cp:coreProperties>
</file>